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Bio-AHVV — Aufzeichnungspflichten bei Kennzeichnung nach § 4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Sofern ein Unternehmer Zutaten oder Erzeugnisse nach § 4 kennzeichnet, hat er schriftlich oder elektronisch Folgendes aufzuzeichnen:</w:t>
      </w:r>
    </w:p>
    <w:p>
      <w:pPr>
        <w:ind w:left="420"/>
      </w:pPr>
      <w:r>
        <w:t xml:space="preserve">1. den Namen und die Anschrift jedes Lieferanten oder der sonstigen Bezugsquellen,</w:t>
      </w:r>
    </w:p>
    <w:p>
      <w:pPr>
        <w:ind w:left="420"/>
      </w:pPr>
      <w:r>
        <w:t xml:space="preserve">2. die Art, die Menge und den Zeitpunkt der von der Betriebseinheit bezogenen</w:t>
      </w:r>
    </w:p>
    <w:p>
      <w:pPr>
        <w:ind w:left="780"/>
      </w:pPr>
      <w:r>
        <w:t xml:space="preserve">a) ökologischen/biologischen Zutaten und Erzeugnisse,</w:t>
      </w:r>
    </w:p>
    <w:p>
      <w:pPr>
        <w:ind w:left="780"/>
      </w:pPr>
      <w:r>
        <w:t xml:space="preserve">b) Zutaten und Erzeugnisse aus der Umstellung auf die ökologische Produktion und</w:t>
      </w:r>
    </w:p>
    <w:p>
      <w:pPr>
        <w:ind w:left="780"/>
      </w:pPr>
      <w:r>
        <w:t xml:space="preserve">c) nicht ökologischen/nicht biologischen Zutaten und Erzeugnisse.</w:t>
      </w:r>
    </w:p>
    <w:p>
      <w:r>
        <w:t xml:space="preserve">(2) Sofern ein Unternehmer zeitgleich in derselben Betriebseinheit gleiche Zutaten oder Erzeugnisse aus ökologischer/biologischer Produktion und aus nicht ökologischer/nicht biologischer Produktion lagert, hat er sicherzustellen, dass Art und Anzahl der ausgegebenen Speisen und Getränke aus der Buchführung hervorgehen. Eine Warenflussdokumentation ist nicht erforderlich.</w:t>
      </w:r>
    </w:p>
    <w:p>
      <w:r>
        <w:rPr>
          <w:color w:val="555555"/>
          <w:sz w:val="17"/>
        </w:rPr>
        <w:t xml:space="preserve">Zitiervorschlag: § 11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