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BinSchZV</w:t>
      </w:r>
    </w:p>
    <w:p>
      <w:r>
        <w:rPr>
          <w:color w:val="555555"/>
          <w:sz w:val="18"/>
        </w:rPr>
        <w:t xml:space="preserve">Binnenschiffsgüter-Berufszugangsverordnung (Artikel 1 der Verordnung über den Zugang zum Beruf des Unternehmers im innerstaatlichen und grenzüberschreitenden Binnenschiffsgüterverkehr)</w:t>
      </w:r>
    </w:p>
    <w:p>
      <w:r>
        <w:rPr>
          <w:color w:val="555555"/>
          <w:sz w:val="18"/>
        </w:rPr>
        <w:t xml:space="preserve">Stand: 10.06.2019 (konsolidierte Textfassung, kein amtliches Inkrafttretensdatum)</w:t>
      </w:r>
    </w:p>
    <w:p>
      <w:r>
        <w:t xml:space="preserve">(1) Der Nachweis der fachlichen Eignung kann durch Ablegung einer Prüfung oder durch den Nachweis einer mindestens dreijährigen nicht untergeordneten Tätigkeit in Unternehmen des gewerblichen Binnenschiffsgüterverkehrs geführt werden.</w:t>
      </w:r>
    </w:p>
    <w:p>
      <w:r>
        <w:t xml:space="preserve">(2) Die Tätigkeit muß die zur Führung eines innerstaatlichen oder grenzüberschreitenden Binnenschiffsgütertransportunternehmens jeweils erforderlichen Kenntnisse auf den aus der Anlage ersichtlichen Sachgebieten vermittelt haben. Diese Kenntnisse sind der Erlaubnisbehörde durch schriftliche Zeugnisse der Unternehmen, in denen die Tätigkeit geleistet wurde, nachzuweisen. Der Nachweis der Kenntnisse durch die praktische Erfahrung kann nicht durch das Zeugnis eines Unternehmers erbracht werden, der gemäß § 3 Nr. 2 keine Erlaubnisurkunde bedarf. Dies gilt nicht, soweit der Unternehmer Güterbeförderung auf Wasserstraßen durchgeführt hat, die erst nach Inkrafttreten dieser Verordnung eine Verbindung mit den übrigen Binnenwasserstraßen eines anderen Mitgliedstaates der Europäischen Gemeinschaften oder eines anderen Vertragsstaates des Abkommens über den Europäischen Wirtschaftsraum erhalten haben.</w:t>
      </w:r>
    </w:p>
    <w:p>
      <w:r>
        <w:t xml:space="preserve">(3) War der Nachweispflichtige selbst Unternehmer, so ist der Nachweis in anderer geeigneter Form zu erbringen.</w:t>
      </w:r>
    </w:p>
    <w:p>
      <w:r>
        <w:t xml:space="preserve">(4) Soweit die fachliche Eignung durch eine angemessene und nicht untergeordnete Vortätigkeit geltend gemacht wird, prüft die Erlaubnisbehörde die vorgelegten Nachweise. Bejaht die Erlaubnisbehörde die fachliche Eignung, stellt sie auf Antrag nach § 2 Abs. 4 eine Erlaubnisurkunde aus.</w:t>
      </w:r>
    </w:p>
    <w:p>
      <w:r>
        <w:rPr>
          <w:color w:val="555555"/>
          <w:sz w:val="17"/>
        </w:rPr>
        <w:t xml:space="preserve">Zitiervorschlag: § 5 BinSchZV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https://recht.nulegal.eu/gesetze/BinSchZV/5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