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BinSchZV</w:t>
      </w:r>
    </w:p>
    <w:p>
      <w:r>
        <w:rPr>
          <w:color w:val="555555"/>
          <w:sz w:val="18"/>
        </w:rPr>
        <w:t xml:space="preserve">Binnenschiffsgüter-Berufszugangsverordnung (Artikel 1 der Verordnung über den Zugang zum Beruf des Unternehmers im innerstaatlichen und grenzüberschreitenden Binnenschiffsgüterverkehr)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Beruf des Unternehmers im Binnenschiffsgüterverkehr im Sinne dieser Verordnung ist die Tätigkeit natürlicher Personen oder Unternehmen, die - sei es auch nur gelegentlich - mit Binnenschiffen im gewerblichen Verkehr Güter befördern.</w:t>
      </w:r>
    </w:p>
    <w:p>
      <w:r>
        <w:t xml:space="preserve">(2) Unternehmen im Sinne dieser Verordnung ist jede Gesellschaft, auch ohne Rechtspersönlichkeit, sowie jede andere Personenvereinigung einschließlich einer Binnenschiffervereinigung und -genossenschaft, die bei den Verladern Ladung beschafft.</w:t>
      </w:r>
    </w:p>
    <w:p>
      <w:r>
        <w:rPr>
          <w:color w:val="555555"/>
          <w:sz w:val="17"/>
        </w:rPr>
        <w:t xml:space="preserve">Zitiervorschlag: § 1 BinSchZV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