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BinSchUkrAbkG</w:t>
      </w:r>
    </w:p>
    <w:p>
      <w:r>
        <w:rPr>
          <w:color w:val="555555"/>
          <w:sz w:val="18"/>
        </w:rPr>
        <w:t xml:space="preserve">Gesetz zu dem Abkommen vom 14. Juli 1992 zwischen der Regierung der Bundesrepublik Deutschland und der Regierung der Ukraine über die Binnenschiffahrt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Bundesministerium für Verkehr und digitale Infrastruktur wird ermächtigt, die genehmigten Vereinbarungen über die Mindest-/Höchstfrachten sowie die Nebenbedingungen für den Wechselverkehr, auf die sich der Gemischte Ausschuß gemäß Artikel 14 Abs. 8 des Abkommens geeinigt hat, durch Rechtsverordnung in Kraft zu setzen.</w:t>
      </w:r>
    </w:p>
    <w:p>
      <w:r>
        <w:rPr>
          <w:color w:val="555555"/>
          <w:sz w:val="17"/>
        </w:rPr>
        <w:t xml:space="preserve">Zitiervorschlag: Art 2 BinSchUkrAbkG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https://recht.nulegal.eu/gesetze/BinSchUkrAbkG/2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