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7.05 BinSchUO2018Anh II — Sicherheit am Arbeitsplatz</w:t>
      </w:r>
    </w:p>
    <w:p>
      <w:r>
        <w:rPr>
          <w:color w:val="555555"/>
          <w:sz w:val="18"/>
        </w:rPr>
        <w:t xml:space="preserve">Nationale Sonderbestimmungen (Anhang II der Binnenschiffsuntersuchungsordnung BGBl I 2018, 1398)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 Vorschriften dieses Kapitels nicht entgegenstehen, gelten die Artikel 14.01 bis 14.06, 14.08, 14.09, 14.11 und 14.13 ES-TRIN entsprechend. Weitergehende arbeitsschutzrechtliche Vorschriften bleiben unberührt.</w:t>
      </w:r>
    </w:p>
    <w:p>
      <w:r>
        <w:rPr>
          <w:color w:val="555555"/>
          <w:sz w:val="17"/>
        </w:rPr>
        <w:t xml:space="preserve">Zitiervorschlag: § 7.05 BinSchUO2018Anh II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https://recht.nulegal.eu/gesetze/BinSchUO2018Anh%20II/7.05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7.05 BinSchUO2018Anh II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