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2.09 BinSchUO2018Anh II — Landeklappen</w:t>
      </w:r>
    </w:p>
    <w:p>
      <w:r>
        <w:rPr>
          <w:color w:val="555555"/>
          <w:sz w:val="18"/>
        </w:rPr>
        <w:t xml:space="preserve">Nationale Sonderbestimmungen (Anhang II der Binnenschiffsuntersuchungsordnung BGBl I 2018, 1398)</w:t>
      </w:r>
    </w:p>
    <w:p>
      <w:r>
        <w:rPr>
          <w:color w:val="555555"/>
          <w:sz w:val="18"/>
        </w:rPr>
        <w:t xml:space="preserve">Stand: 22.10.2025 (konsolidierte Textfassung, kein amtliches Inkrafttretensdatum)</w:t>
      </w:r>
    </w:p>
    <w:p>
      <w:r>
        <w:t xml:space="preserve">Die Festigkeit von Landeklappen muss ihrem Einsatzzweck entsprechen. Die Landeklappen sind seitlich mit geeigneten Absturzsicherungen zu versehen.</w:t>
      </w:r>
    </w:p>
    <w:p>
      <w:r>
        <w:rPr>
          <w:color w:val="555555"/>
          <w:sz w:val="17"/>
        </w:rPr>
        <w:t xml:space="preserve">Zitiervorschlag: § 2.09 BinSchUO2018Anh II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https://recht.nulegal.eu/gesetze/BinSchUO2018Anh%20II/2.09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2.09 BinSchUO2018Anh II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