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BinSchUO 2018 — Verzeichnis der Fahrtauglichkeitsbescheinigungen</w:t>
      </w:r>
    </w:p>
    <w:p>
      <w:r>
        <w:rPr>
          <w:color w:val="555555"/>
          <w:sz w:val="18"/>
        </w:rPr>
        <w:t xml:space="preserve">Binnenschiffsuntersuchungsordnung</w:t>
      </w:r>
    </w:p>
    <w:p>
      <w:r>
        <w:rPr>
          <w:color w:val="555555"/>
          <w:sz w:val="18"/>
        </w:rPr>
        <w:t xml:space="preserve">Stand: 10.06.2019 (konsolidierte Textfassung, kein amtliches Inkrafttretensdatum)</w:t>
      </w:r>
    </w:p>
    <w:p>
      <w:r>
        <w:t xml:space="preserve">(1) Die Generaldirektion Wasserstraßen und Schifffahrt versieht jede von ihr erteilte Fahrtauglichkeitsbescheinigung mit einer laufenden Nummer. Sie führt ein Verzeichnis aller von ihr erteilten Fahrtauglichkeitsbescheinigungen nach Anlage 3 Abschnitt VI ES-TRIN.</w:t>
      </w:r>
    </w:p>
    <w:p>
      <w:r>
        <w:t xml:space="preserve">(2) Die Generaldirektion Wasserstraßen und Schifffahrt hat von jeder Fahrtauglichkeitsbescheinigung, die sie erteilt hat, die Urschrift oder eine Kopie aufzubewahren. In diese sind alle Vermerke und Änderungen sowie Ungültigkeitserklärungen und Neuerteilungen einzutragen. Sie aktualisiert das Verzeichnis der Fahrtauglichkeitsbescheinigungen entsprechend.</w:t>
      </w:r>
    </w:p>
    <w:p>
      <w:r>
        <w:rPr>
          <w:color w:val="555555"/>
          <w:sz w:val="17"/>
        </w:rPr>
        <w:t xml:space="preserve">Zitiervorschlag: § 21 BinSchUO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https://recht.nulegal.eu/gesetze/BinSchUO%202018/21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BinSchUO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