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BinSchStrO2012AbwV 8</w:t>
      </w:r>
    </w:p>
    <w:p>
      <w:r>
        <w:rPr>
          <w:color w:val="555555"/>
          <w:sz w:val="18"/>
        </w:rPr>
        <w:t xml:space="preserve">Achte Verordnung zur vorübergehenden Abweichung von der Binnenschifffahrtsstraßen-Ordnung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Die Generaldirektion Wasserstraßen und Schifffahrt verordnet aufgrund des § 3 Nummer 2 der Verordnung zur Einführung der Binnenschifffahrtsstraßen-Ordnung vom 16. Dezember 2011 (BGBl. 2012 I S. 2, 1717), die zuletzt durch Artikel 1 der Verordnung vom 23. Juli 2024 (BGBl. 2024 I Nr. 253; 2024 I Nr. 336) geändert worden ist:</w:t>
      </w:r>
    </w:p>
    <w:p>
      <w:r>
        <w:rPr>
          <w:color w:val="555555"/>
          <w:sz w:val="17"/>
        </w:rPr>
        <w:t xml:space="preserve">Zitiervorschlag: Eingangsformel BinSchStrO2012AbwV 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https://recht.nulegal.eu/gesetze/BinSchStrO2012AbwV%208/eingangsformel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