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BinSchStrO2012AbwV 8 — Verhaltenspflichten</w:t>
      </w:r>
    </w:p>
    <w:p>
      <w:r>
        <w:rPr>
          <w:color w:val="555555"/>
          <w:sz w:val="18"/>
        </w:rPr>
        <w:t xml:space="preserve">Achte Verordnung zur vorübergehenden Abweichung von der Binnenschifffahrtsstraßen-Ordnung</w:t>
      </w:r>
    </w:p>
    <w:p>
      <w:r>
        <w:rPr>
          <w:color w:val="555555"/>
          <w:sz w:val="18"/>
        </w:rPr>
        <w:t xml:space="preserve">Stand: 01.11.2025 (konsolidierte Textfassung, kein amtliches Inkrafttretensdatum)</w:t>
      </w:r>
    </w:p>
    <w:p>
      <w:r>
        <w:t xml:space="preserve">Der Schiffsführer oder die Schiffsführerin darf einen automatischen Spurführungsassistenten (TGAIN) nur einsetzen, wenn er oder sie dafür sorgt, dass</w:t>
      </w:r>
    </w:p>
    <w:p>
      <w:pPr>
        <w:ind w:left="420"/>
      </w:pPr>
      <w:r>
        <w:t xml:space="preserve">1. der TGAIN ordnungsgemäß funktioniert,</w:t>
      </w:r>
    </w:p>
    <w:p>
      <w:pPr>
        <w:ind w:left="420"/>
      </w:pPr>
      <w:r>
        <w:t xml:space="preserve">2. die in den TGAIN eingegebenen Daten zu jedem Zeitpunkt den tatsächlichen Daten des Fahrzeugs oder des Verbands entsprechen,</w:t>
      </w:r>
    </w:p>
    <w:p>
      <w:pPr>
        <w:ind w:left="420"/>
      </w:pPr>
      <w:r>
        <w:t xml:space="preserve">3. der TGAIN nur von einer Person benutzt wird, die in dessen Funktionsweise eingewiesen worden ist,</w:t>
      </w:r>
    </w:p>
    <w:p>
      <w:pPr>
        <w:ind w:left="420"/>
      </w:pPr>
      <w:r>
        <w:t xml:space="preserve">4. während des Betriebs des TGAIN</w:t>
      </w:r>
    </w:p>
    <w:p>
      <w:pPr>
        <w:ind w:left="780"/>
      </w:pPr>
      <w:r>
        <w:t xml:space="preserve">a) das Steuerhaus zu keinem Zeitpunkt unbesetzt ist,</w:t>
      </w:r>
    </w:p>
    <w:p>
      <w:pPr>
        <w:ind w:left="780"/>
      </w:pPr>
      <w:r>
        <w:t xml:space="preserve">b) dessen Aufmerksamkeitsüberwachungsgerät zu keinem Zeitpunkt ausgeschaltet ist,</w:t>
      </w:r>
    </w:p>
    <w:p>
      <w:pPr>
        <w:ind w:left="780"/>
      </w:pPr>
      <w:r>
        <w:t xml:space="preserve">c) dessen Alarmsignal jederzeit wahrgenommen werden kann,</w:t>
      </w:r>
    </w:p>
    <w:p>
      <w:pPr>
        <w:ind w:left="780"/>
      </w:pPr>
      <w:r>
        <w:t xml:space="preserve">d) alle fünf Minuten die Anwesenheit einer Person im Steuerhaus durch Betätigung des Anwesenheitsüberwachungsgerätes bestätigt wird und</w:t>
      </w:r>
    </w:p>
    <w:p>
      <w:pPr>
        <w:ind w:left="780"/>
      </w:pPr>
      <w:r>
        <w:t xml:space="preserve">e) in regelmäßigen Abständen und nach jeder manuellen Veränderung der Fahrspur die ordnungsgemäße Funktion des TGAIN überprüft wird,</w:t>
      </w:r>
    </w:p>
    <w:p>
      <w:pPr>
        <w:ind w:left="420"/>
      </w:pPr>
      <w:r>
        <w:t xml:space="preserve">5. bei der Annäherung an Schleusen oder Schiffshebewerke der TGAIN mindestens fünf Minuten vor Einfahrt ausgeschaltet wird und</w:t>
      </w:r>
    </w:p>
    <w:p>
      <w:pPr>
        <w:ind w:left="420"/>
      </w:pPr>
      <w:r>
        <w:t xml:space="preserve">6. der TGAIN nur dann benutzt wird, wenn dieser selbst oder ein externes Gerät die Betriebsdaten aufzeichnet.</w:t>
      </w:r>
    </w:p>
    <w:p>
      <w:r>
        <w:t xml:space="preserve">Wer vorübergehend selbstständig den Kurs und die Geschwindigkeit eines Fahrzeugs bestimmt, ist für die Einhaltung der Pflichten nach Nummer 4 und 6 verantwortlich.</w:t>
      </w:r>
    </w:p>
    <w:p>
      <w:r>
        <w:rPr>
          <w:color w:val="555555"/>
          <w:sz w:val="17"/>
        </w:rPr>
        <w:t xml:space="preserve">Zitiervorschlag: § 2 BinSchStrO2012AbwV 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https://recht.nulegal.eu/gesetze/BinSchStrO2012AbwV%208/2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BinSchStrO2012AbwV 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