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BinSchStrO2012AbwV 7</w:t>
      </w:r>
    </w:p>
    <w:p>
      <w:r>
        <w:rPr>
          <w:color w:val="555555"/>
          <w:sz w:val="18"/>
        </w:rPr>
        <w:t xml:space="preserve">Siebte Verordnung zur vorübergehenden Abweichung von der Binnenschifffahrtsstraßen-Ordnung</w:t>
      </w:r>
    </w:p>
    <w:p>
      <w:r>
        <w:rPr>
          <w:color w:val="555555"/>
          <w:sz w:val="18"/>
        </w:rPr>
        <w:t xml:space="preserve">Stand: 01.06.2024 (konsolidierte Textfassung, kein amtliches Inkrafttretensdatum)</w:t>
      </w:r>
    </w:p>
    <w:p>
      <w:r>
        <w:t xml:space="preserve">Auf Grund des § 3 Absatz 1 Satz 1 Nummer 1 in Verbindung mit § 14 des Binnenschifffahrtsaufgabengesetzes in der Fassung der Bekanntmachung vom 20. März 2023 (BGBl. 2023 I Nr. 82) in Verbindung mit § 3 der Verordnung zur Einführung der Binnenschifffahrtsstraßen-Ordnung vom 16. Dezember 2011 (BGBl. 2012 I S. 2, 1717), von denen § 14 des Binnenschifffahrtsaufgabengesetzes durch Artikel 14 des Gesetzes vom 22. Dezember 2023 (BGBl. 2023 I Nr. 409) geändert worden ist, verordnet die Generaldirektion Wasserstraßen und Schifffahrt:</w:t>
      </w:r>
    </w:p>
    <w:p>
      <w:r>
        <w:rPr>
          <w:color w:val="555555"/>
          <w:sz w:val="17"/>
        </w:rPr>
        <w:t xml:space="preserve">Zitiervorschlag: Eingangsformel BinSchStrO2012AbwV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https://recht.nulegal.eu/gesetze/BinSchStrO2012AbwV%207/eingangsformel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