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9.05 BinSchStrO 2012 — Zurückweisung von Fahrgästen</w:t>
      </w:r>
    </w:p>
    <w:p>
      <w:r>
        <w:rPr>
          <w:color w:val="555555"/>
          <w:sz w:val="18"/>
        </w:rPr>
        <w:t xml:space="preserve">Binnenschifffahrtsstraßen-Ordnung</w:t>
      </w:r>
    </w:p>
    <w:p>
      <w:r>
        <w:rPr>
          <w:color w:val="555555"/>
          <w:sz w:val="18"/>
        </w:rPr>
        <w:t xml:space="preserve">Stand: 10.06.2019 (konsolidierte Textfassung, kein amtliches Inkrafttretensdatum)</w:t>
      </w:r>
    </w:p>
    <w:p>
      <w:r>
        <w:t xml:space="preserve">Der Schiffsführer oder die von ihm beauftragten Mitglieder der Besatzung haben jeweils Personen, von denen eine Gefährdung des Schiffsbetriebes oder eine erhebliche Belästigung der Fahrgäste zu befürchten ist, von der Beförderung auszuschließen.</w:t>
      </w:r>
    </w:p>
    <w:p>
      <w:r>
        <w:rPr>
          <w:color w:val="555555"/>
          <w:sz w:val="17"/>
        </w:rPr>
        <w:t xml:space="preserve">Zitiervorschlag: § 9.05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https://recht.nulegal.eu/gesetze/BinSchStrO%202012/9.05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