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9.03 BinSchStrO 2012 — Schiffsverkehr an den Anlegestellen</w:t>
      </w:r>
    </w:p>
    <w:p>
      <w:r>
        <w:rPr>
          <w:color w:val="555555"/>
          <w:sz w:val="18"/>
        </w:rPr>
        <w:t xml:space="preserve">Binnenschifffahrtsstraßen-Ordnung</w:t>
      </w:r>
    </w:p>
    <w:p>
      <w:r>
        <w:rPr>
          <w:color w:val="555555"/>
          <w:sz w:val="18"/>
        </w:rPr>
        <w:t xml:space="preserve">Stand: 10.06.2019 (konsolidierte Textfassung, kein amtliches Inkrafttretensdatum)</w:t>
      </w:r>
    </w:p>
    <w:p>
      <w:r>
        <w:t xml:space="preserve">Der Schiffsführer eines anderen Fahrzeugs als ein Fahrgastschiff darf das Fahrzeug an einer Anlegestelle der Fahrgastschiffe nur mit Erlaubnis des Berechtigten festmachen oder festmachen lassen und es dort nur stillliegen lassen, solange der Verkehr der Fahrgastschiffe nicht behindert wird.</w:t>
      </w:r>
    </w:p>
    <w:p>
      <w:r>
        <w:rPr>
          <w:color w:val="555555"/>
          <w:sz w:val="17"/>
        </w:rPr>
        <w:t xml:space="preserve">Zitiervorschlag: § 9.03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https://recht.nulegal.eu/gesetze/BinSchStrO%202012/9.03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