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9.01 BinSchStrO 2012 — Fahrpläne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Wer regelmäßig Fahrten mit einem Fahrgastschiff unternimmt (Unternehmer), muss den Fahrplan mit Abfahrts- und Ankunftszeiten und Anlegestellen spätestens vier Wochen vor Beginn der Fahrten der zuständigen Behörde, von deren Bezirk aus die Fahrgastschifffahrt betrieben wird, anzeigen. Satz 1 gilt für Fahrplanänderungen entsprechend.</w:t>
      </w:r>
    </w:p>
    <w:p>
      <w:pPr>
        <w:ind w:left="420"/>
      </w:pPr>
      <w:r>
        <w:t xml:space="preserve">2. Der Unternehmer muss auf Verlangen der zuständigen Behörde den Fahrplan so ändern, dass Verkehrsstörungen vermieden werden.</w:t>
      </w:r>
    </w:p>
    <w:p>
      <w:r>
        <w:rPr>
          <w:color w:val="555555"/>
          <w:sz w:val="17"/>
        </w:rPr>
        <w:t xml:space="preserve">Zitiervorschlag: § 9.01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https://recht.nulegal.eu/gesetze/BinSchStrO%202012/9.01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