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8.11 BinSchStrO 2012 — Bezeichnung von Fanggeräten der Fischerei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pPr>
        <w:ind w:left="420"/>
      </w:pPr>
      <w:r>
        <w:t xml:space="preserve">1. Ein Großfanggerät der Fischerei ist nach § 3.25 Nummer 1 zu bezeichnen, soweit die dort genannten Lichter oder Sichtzeichen an dem Gerät angebracht werden können. Ist dies nicht der Fall, ist das Großfanggerät nach § 3.24 zu bezeichnen.</w:t>
      </w:r>
    </w:p>
    <w:p>
      <w:pPr>
        <w:ind w:left="420"/>
      </w:pPr>
      <w:r>
        <w:t xml:space="preserve">2. Ein sonstiges Fanggerät ist nach § 3.24 zu bezeichnen, wenn es die Schifffahrt gefährden kann.</w:t>
      </w:r>
    </w:p>
    <w:p>
      <w:pPr>
        <w:ind w:left="420"/>
      </w:pPr>
      <w:r>
        <w:t xml:space="preserve">3. Abweichend von Nummer 1 Satz 2 kann ein Fanggerät der Fischerei, insbesondere eine Reuse durch Steckstangen bezeichnet werden. Wenn die Schifffahrt gefährdet werden kann, sind die äußeren Steckstangen zur Fahrwasserseite bei Nacht nach § 3.20 Nummer 1 mit von allen Seiten sichtbaren weißen gewöhnlichen Lichtern zu bezeichnen.</w:t>
      </w:r>
    </w:p>
    <w:p>
      <w:pPr>
        <w:ind w:left="420"/>
      </w:pPr>
      <w:r>
        <w:t xml:space="preserve">4. Die zuständige Behörde kann abweichend von Nummer 2 Satz 1 eine andere Bezeichnung vorschreiben oder zulassen.</w:t>
      </w:r>
    </w:p>
    <w:p>
      <w:r>
        <w:rPr>
          <w:color w:val="555555"/>
          <w:sz w:val="17"/>
        </w:rPr>
        <w:t xml:space="preserve">Zitiervorschlag: § 8.11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https://recht.nulegal.eu/gesetze/BinSchStrO%202012/8.11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