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8.06 BinSchStrO 2012 — Kupplungen der Schubverbände</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Die Kupplungen eines Schubverbandes müssen die starre Verbindung aller Fahrzeuge gewährleisten.</w:t>
      </w:r>
    </w:p>
    <w:p>
      <w:pPr>
        <w:ind w:left="420"/>
      </w:pPr>
      <w:r>
        <w:t xml:space="preserve">2. Die Verbindungen mittels der Kupplungen müssen sich schnell und leicht herstellen und lösen lassen.</w:t>
      </w:r>
    </w:p>
    <w:p>
      <w:pPr>
        <w:ind w:left="420"/>
      </w:pPr>
      <w:r>
        <w:t xml:space="preserve">3. Die Kupplungen müssen durch geeignete Einrichtungen, vorzugsweise Spezialwinden, gleichmäßig gespannt gehalten werden.</w:t>
      </w:r>
    </w:p>
    <w:p>
      <w:pPr>
        <w:ind w:left="420"/>
      </w:pPr>
      <w:r>
        <w:t xml:space="preserve">4. Bei einem Schubverband bis zu 12,00 m Breite, der aus einem schiebenden und einem geschobenen Fahrzeug besteht, gilt als starre Verbindung beider Fahrzeuge auch ein Kupplungssystem, das ein gesteuertes Knicken des Verbandes ermöglicht, sofern in der Fahrtauglichkeitsbescheinigung dieser Fahrzeuge ein entsprechender Vermerk eingetragen ist. Das Herstellen von geknickten Verbindungen darf nur durch die in der Fahrtauglichkeitsbescheinigung genannten Einrichtungen und nicht durch Hilfsmittel erfolgen.</w:t>
      </w:r>
    </w:p>
    <w:p>
      <w:r>
        <w:rPr>
          <w:color w:val="555555"/>
          <w:sz w:val="17"/>
        </w:rPr>
        <w:t xml:space="preserve">Zitiervorschlag: § 8.06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https://recht.nulegal.eu/gesetze/BinSchStrO%202012/8.06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