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8.05 BinSchStrO 2012 — Fortbewegung von Schubleichtern außerhalb eines Schubverbandes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Außerhalb eines Schubverbandes darf ein Schubleichter nur fortbewegt werden:</w:t>
      </w:r>
    </w:p>
    <w:p>
      <w:pPr>
        <w:ind w:left="420"/>
      </w:pPr>
      <w:r>
        <w:t xml:space="preserve">1. längsseits gekuppelt oder geschleppt, sofern in der Fahrtauglichkeitsbescheinigung des Schubleichters und des fortbewegenden Fahrzeugs ein entsprechender Vermerk eingetragen ist;</w:t>
      </w:r>
    </w:p>
    <w:p>
      <w:pPr>
        <w:ind w:left="420"/>
      </w:pPr>
      <w:r>
        <w:t xml:space="preserve">2. auf kurzen Strecken beim Zusammenstellen oder Auflösen eines Schubverbandes unter Beachtung der von der zuständigen Behörde erlassenen Vorschriften oder mit ihrer Erlaubnis.</w:t>
      </w:r>
    </w:p>
    <w:p>
      <w:r>
        <w:rPr>
          <w:color w:val="555555"/>
          <w:sz w:val="17"/>
        </w:rPr>
        <w:t xml:space="preserve">Zitiervorschlag: § 8.05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https://recht.nulegal.eu/gesetze/BinSchStrO%202012/8.05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