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8.02 BinSchStrO 2012 — Geschleppte und schleppende Schubverbände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Schubverband darf nicht geschleppt werden. Soweit außergewöhnliche, insbesondere örtliche Verhältnisse es bedingen und die Schifffahrt dadurch nicht behindert wird, darf ein Schubverband geschleppt werden.</w:t>
      </w:r>
    </w:p>
    <w:p>
      <w:pPr>
        <w:ind w:left="420"/>
      </w:pPr>
      <w:r>
        <w:t xml:space="preserve">2. Ein Schubverband darf nicht schleppen. Dies gilt nicht, wenn seine Länge und seine Breite auf der jeweiligen Wasserstraße die in den Kapiteln 10 bis 27 für Fahrzeuge genannten Höchstabmessungen nicht überschreiten und ein entsprechender Vermerk in der Fahrtauglichkeitsbescheinigung des schiebenden Fahrzeugs eingetragen ist. Ein Schubverband mit einem oder mehreren Fahrzeugen im Anhang bildet einen Schleppverband nach § 1.01 Nummer 4. Der Schubverband gilt hierbei als Fahrzeug mit Maschinenantrieb an der Spitze eines Schleppverbandes.</w:t>
      </w:r>
    </w:p>
    <w:p>
      <w:r>
        <w:rPr>
          <w:color w:val="555555"/>
          <w:sz w:val="17"/>
        </w:rPr>
        <w:t xml:space="preserve">Zitiervorschlag: § 8.02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https://recht.nulegal.eu/gesetze/BinSchStrO%202012/8.02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