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7.01 BinSchStrO 2012 — Allgemeine Grundsätze für das Stillliegen</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Unbeschadet anderer Bestimmungen dieser Verordnung muss ein Fahrzeug oder ein Schwimmkörper seinen Liegeplatz so nahe am Ufer wählen, wie es sein Tiefgang und die örtlichen Verhältnisse gestatten. Ein Fahrzeug oder ein Schwimmkörper darf keinesfalls die Schifffahrt behindern. An eine Böschung ist vorsichtig heranzufahren.</w:t>
      </w:r>
    </w:p>
    <w:p>
      <w:pPr>
        <w:ind w:left="420"/>
      </w:pPr>
      <w:r>
        <w:t xml:space="preserve">2. Unbeschadet der im Einzelfall von der zuständigen Behörde erteilten Auflagen im Rahmen der für das Stillliegen ergangenen Genehmigung muss der Liegeplatz für eine schwimmende Anlage so gewählt werden, dass die Fahrrinne für die Schifffahrt frei bleibt.</w:t>
      </w:r>
    </w:p>
    <w:p>
      <w:pPr>
        <w:ind w:left="420"/>
      </w:pPr>
      <w:r>
        <w:t xml:space="preserve">3. Ein stillliegendes Fahrzeug, ein stillliegender Schwimmkörper oder eine stillliegende schwimmende Anlage muss so verankert oder festgemacht werden, dass seine oder ihre Lage nicht in einer Weise verändert werden kann, die ein anderes Fahrzeug, oder einen anderen Schwimmkörper gefährdet oder behindert. Dabei sind insbesondere Wind- und Wasserstandsschwankungen sowie Sog und Wellenschlag zu berücksichtigen.</w:t>
      </w:r>
    </w:p>
    <w:p>
      <w:pPr>
        <w:ind w:left="420"/>
      </w:pPr>
      <w:r>
        <w:t xml:space="preserve">4. Sofern auf Schifffahrtskanälen und in Schleusenkanälen das Stillliegen erlaubt ist, muss ein Fahrzeug oder ein Schwimmkörper festgemacht werden.</w:t>
      </w:r>
    </w:p>
    <w:p>
      <w:pPr>
        <w:ind w:left="420"/>
      </w:pPr>
      <w:r>
        <w:t xml:space="preserve">5. Ein Fahrzeug darf nur über einen sicheren Zugang betreten oder verlassen werden. Ist eine geeignete Landanlage vorhanden, darf keine andere Einrichtung benutzt werden. Ist ein Abstand zwischen Fahrzeug und Land vorhanden, muss bei einem Fahrzeug, das über ein Binnenschiffszeugnis verfügt, ein Landsteg nach Artikel 13.02 Nummer 3 Buchstabe d ES-TRIN ausgelegt und sicher befestigt sein; die Geländer des Landstegs müssen gesetzt sein. Wird ein Beiboot als Zugang benutzt und ist ein Höhenunterschied zwischen Beiboot und Deck zu überwinden, ist ein geeigneter, sicherer Aufstieg zu benutzen.</w:t>
      </w:r>
    </w:p>
    <w:p>
      <w:r>
        <w:rPr>
          <w:color w:val="555555"/>
          <w:sz w:val="17"/>
        </w:rPr>
        <w:t xml:space="preserve">Zitiervorschlag: § 7.01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https://recht.nulegal.eu/gesetze/BinSchStrO%202012/7.01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