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6.32 BinSchStrO 2012 — Mit Radar fahrende Fahrzeuge</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Ein Fahrzeug darf nur mit Radar fahren, wenn sich eine Person, die neben dem für die geführte Fahrzeugart und die zu befahrende Strecke erforderlichen Befähigungszeugnis</w:t>
      </w:r>
    </w:p>
    <w:p>
      <w:pPr>
        <w:ind w:left="780"/>
      </w:pPr>
      <w:r>
        <w:t xml:space="preserve">a) eine besondere Berechtigung für Radar,</w:t>
      </w:r>
    </w:p>
    <w:p>
      <w:pPr>
        <w:ind w:left="780"/>
      </w:pPr>
      <w:r>
        <w:t xml:space="preserve">b) einen nach der Binnenschiffspersonalverordnung der besonderen Berechtigung nach Buchstabe a gleichgestellten Nachweis oder</w:t>
      </w:r>
    </w:p>
    <w:p>
      <w:pPr>
        <w:ind w:left="780"/>
      </w:pPr>
      <w:r>
        <w:t xml:space="preserve">c) ein nach der Binnenschiffspersonalverordnung weitergeltendes Radarpatent</w:t>
      </w:r>
    </w:p>
    <w:p>
      <w:pPr>
        <w:ind w:left="420"/>
      </w:pPr>
      <w:r>
        <w:t xml:space="preserve">besitzt und eine zweite Person, die mit der Verwendung von Radar in der Schifffahrt hinreichend vertraut ist, ständig im Steuerhaus aufhalten. Wenn in der Fahrtauglichkeitsbescheinigung vermerkt ist, dass das Fahrzeug über einen Radareinmannsteuerstand verfügt, muss sich die zweite Person nicht ständig im Steuerhaus aufhalten.</w:t>
      </w:r>
    </w:p>
    <w:p>
      <w:pPr>
        <w:ind w:left="420"/>
      </w:pPr>
      <w:r>
        <w:t xml:space="preserve">2. Bei der Begegnung und der Vorbeifahrt ist folgendes zu beachten:</w:t>
      </w:r>
    </w:p>
    <w:p>
      <w:pPr>
        <w:ind w:left="780"/>
      </w:pPr>
      <w:r>
        <w:t xml:space="preserve">a) Bemerkt ein Fahrzeug in der Radarfahrt zu Berg auf dem Radarbildschirm ein entgegenkommendes Fahrzeug oder nähert es sich einer Strecke, in der sich ein Fahrzeug befinden kann, das das Radarbild noch nicht erfasst, muss es dem entgegenkommenden Fahrzeug über Sprechfunk seine Fahrzeugart, seinen Namen, seine Fahrtrichtung und seinen Standort mitteilen und die Vorbeifahrt absprechen.</w:t>
      </w:r>
    </w:p>
    <w:p>
      <w:pPr>
        <w:ind w:left="780"/>
      </w:pPr>
      <w:r>
        <w:t xml:space="preserve">b) Bemerkt jedoch ein Fahrzeug in der Radarfahrt zu Tal auf dem Radarbildschirm ein Fahrzeug, dessen Standort oder Kurs eine Gefahrenlage verursachen kann und das sich über Funk nicht gemeldet hat, muss es über Sprechfunk dieses Fahrzeug auf die gefährliche Situation hinweisen und die Vorbeifahrt absprechen.</w:t>
      </w:r>
    </w:p>
    <w:p>
      <w:pPr>
        <w:ind w:left="780"/>
      </w:pPr>
      <w:r>
        <w:t xml:space="preserve">c) Ein Fahrzeug in der Radarfahrt, das über Sprechfunk angerufen wird, muss über Sprechfunk antworten, indem es seine Fahrzeugart, seinen Namen, seine Fahrtrichtung und seinen Standort mitteilt. Es muss dann mit einem entgegenkommenden Fahrzeug die Vorbeifahrt absprechen; ein Kleinfahrzeug darf jedoch lediglich ansagen, nach welcher Seite es ausweicht.</w:t>
      </w:r>
    </w:p>
    <w:p>
      <w:pPr>
        <w:ind w:left="780"/>
      </w:pPr>
      <w:r>
        <w:t xml:space="preserve">d) Wenn mit einem entgegenkommenden Fahrzeug kein Sprechfunkkontakt zustande kommt, muss das Fahrzeug in der Radarfahrt</w:t>
      </w:r>
    </w:p>
    <w:p>
      <w:pPr>
        <w:ind w:left="1140"/>
      </w:pPr>
      <w:r>
        <w:t xml:space="preserve">aa) einen „langen Ton“ geben, der so oft wie notwendig zu wiederholen ist, sowie</w:t>
      </w:r>
    </w:p>
    <w:p>
      <w:pPr>
        <w:ind w:left="1140"/>
      </w:pPr>
      <w:r>
        <w:t xml:space="preserve">bb) seine Geschwindigkeit vermindern und, sofern nötig, anhalten.</w:t>
      </w:r>
    </w:p>
    <w:p>
      <w:pPr>
        <w:ind w:left="780"/>
      </w:pPr>
      <w:r>
        <w:t xml:space="preserve">Dies gilt auch für ein Fahrzeug, das mit Radar fährt, gegenüber einem Fahrzeug, das in der Nähe der Fahrrinne stillliegt und mit dem kein Sprechfunkkontakt zustande kommt.</w:t>
      </w:r>
    </w:p>
    <w:p>
      <w:pPr>
        <w:ind w:left="420"/>
      </w:pPr>
      <w:r>
        <w:t xml:space="preserve">3. Bei einem Schubverband und gekuppelten Fahrzeugen gelten die Nummern 1 und 2 nur für das Fahrzeug, auf dem sich der Schiffsführer des Verbandes oder der gekuppelten Fahrzeuge befindet.</w:t>
      </w:r>
    </w:p>
    <w:p>
      <w:r>
        <w:rPr>
          <w:color w:val="555555"/>
          <w:sz w:val="17"/>
        </w:rPr>
        <w:t xml:space="preserve">Zitiervorschlag: § 6.32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