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6.29a BinSchStrO 2012 — Durchfahren der Schiffshebewerke</w:t>
      </w:r>
    </w:p>
    <w:p>
      <w:r>
        <w:rPr>
          <w:color w:val="555555"/>
          <w:sz w:val="18"/>
        </w:rPr>
        <w:t xml:space="preserve">Binnenschifffahrtsstraßen-Ordnung</w:t>
      </w:r>
    </w:p>
    <w:p>
      <w:r>
        <w:rPr>
          <w:color w:val="555555"/>
          <w:sz w:val="18"/>
        </w:rPr>
        <w:t xml:space="preserve">Stand: 10.06.2019 (konsolidierte Textfassung, kein amtliches Inkrafttretensdatum)</w:t>
      </w:r>
    </w:p>
    <w:p>
      <w:r>
        <w:t xml:space="preserve">Die §§ 6.28, 6.28a und 6.29 sind auch auf ein Schiffshebewerk anzuwenden. In diesem Fall tritt an die Stelle des Schleusenbereiches der Bereich des Schiffshebewerkes und an die Stelle der Schleusenaufsicht die Aufsicht des Schiffshebewerkes.</w:t>
      </w:r>
    </w:p>
    <w:p>
      <w:r>
        <w:rPr>
          <w:color w:val="555555"/>
          <w:sz w:val="17"/>
        </w:rPr>
        <w:t xml:space="preserve">Zitiervorschlag: § 6.29a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https://recht.nulegal.eu/gesetze/BinSchStrO%202012/6.29a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