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6.22a BinSchStrO 2012 — Vorbeifahrt an schwimmenden Geräten bei der Arbeit sowie an festgefahrenen oder gesunkenen Fahrzeugen (Anlage 3: Bild 50a, 50b, 52)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an einem der in § 3.25 genannten Fahrzeuge an der Seite vorbeizufahren, an dem es</w:t>
      </w:r>
    </w:p>
    <w:p>
      <w:r>
        <w:rPr>
          <w:rFonts w:ascii="Courier New" w:hAnsi="Courier New"/>
          <w:sz w:val="17"/>
        </w:rPr>
        <w:t xml:space="preserve">1.das rote Licht nach§ 3.25 Nummer 1Satz 1 Buchstabe bDoppelbuchstabe aa,Satz 2 Buchstabe bDoppelbuchstabe aa,Nummer 2 Satz 1,    [Abbildung]    [Abbildung]</w:t>
      </w:r>
    </w:p>
    <w:p>
      <w:r>
        <w:rPr>
          <w:rFonts w:ascii="Courier New" w:hAnsi="Courier New"/>
          <w:sz w:val="17"/>
        </w:rPr>
        <w:t xml:space="preserve">2.das TafelzeichenA.1 (Anlage 7)oder den roten Ballnach § 3.25Satz 1 Nummer 1Buchstabe b Doppelbuchstabe bb    [Abbildung]    [Abbildung]</w:t>
      </w:r>
    </w:p>
    <w:p>
      <w:r>
        <w:t xml:space="preserve">oder</w:t>
      </w:r>
    </w:p>
    <w:p>
      <w:r>
        <w:rPr>
          <w:rFonts w:ascii="Courier New" w:hAnsi="Courier New"/>
          <w:sz w:val="17"/>
        </w:rPr>
        <w:t xml:space="preserve">3.die rote Flagge nach § 3.25 Nummer 1 Satz 2 Buchstabe bDoppelbuchstabe bb, Nummer 2 Satz 1    [Abbildung]</w:t>
      </w:r>
    </w:p>
    <w:p>
      <w:r>
        <w:t xml:space="preserve">zeigt.</w:t>
      </w:r>
    </w:p>
    <w:p>
      <w:r>
        <w:rPr>
          <w:color w:val="555555"/>
          <w:sz w:val="17"/>
        </w:rPr>
        <w:t xml:space="preserve">Zitiervorschlag: § 6.22a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