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6.22 BinSchStrO 2012 — Sperrung der Schifffahrt und gesperrte Wasserflächen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1.Wenn die zuständige Behörde durch ein allgemeines Zeichen A.1(Anlage 7) bekannt gibt, dass die Schifffahrt gesperrt ist, muss einFahrzeug vor dem Zeichen anhalten.    [Abbildung]</w:t>
      </w:r>
    </w:p>
    <w:p>
      <w:r>
        <w:rPr>
          <w:rFonts w:ascii="Courier New" w:hAnsi="Courier New"/>
          <w:sz w:val="17"/>
        </w:rPr>
        <w:t xml:space="preserve">2.Das Befahren von einer Wasserfläche, die durch das TafelzeichenA.1a (Anlage 7) gekennzeichnet ist, ist einem Fahrzeug oder einemSchwimmkörper – mit Ausnahme eines Kleinfahrzeugs ohneAntriebsmaschine – verboten.    [Abbildung]</w:t>
      </w:r>
    </w:p>
    <w:p>
      <w:r>
        <w:rPr>
          <w:rFonts w:ascii="Courier New" w:hAnsi="Courier New"/>
          <w:sz w:val="17"/>
        </w:rPr>
        <w:t xml:space="preserve">3.Das Befahren einer Wasserfläche, die durch die gerade Liniezwischen zwei oder mehreren Zeichen nach Nummer 1 oder durcheine Reihe von gelben Tonnen (Anlage 8, Abschnitt VIII Bild 33/34)begrenzt wird, ist allen Fahrzeugen und Schwimmkörpern verboten.    </w:t>
      </w:r>
    </w:p>
    <w:p>
      <w:r>
        <w:rPr>
          <w:rFonts w:ascii="Courier New" w:hAnsi="Courier New"/>
          <w:sz w:val="17"/>
        </w:rPr>
        <w:t xml:space="preserve">4.Die zuständige Behörde kann im Einzelfall Ausnahmen von einem bekannt gemachten Durchfahrtsverbot nach Nummer 1 sowie von den Verboten nach den Nummern 2 und 3 zulassen.    </w:t>
      </w:r>
    </w:p>
    <w:p>
      <w:r>
        <w:rPr>
          <w:color w:val="555555"/>
          <w:sz w:val="17"/>
        </w:rPr>
        <w:t xml:space="preserve">Zitiervorschlag: § 6.22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