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6.19 BinSchStrO 2012 — Schifffahrt durch Treibenlassen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pPr>
        <w:ind w:left="420"/>
      </w:pPr>
      <w:r>
        <w:t xml:space="preserve">1. Schifffahrt durch Treibenlassen ist ohne Erlaubnis der zuständigen Behörde verboten.</w:t>
      </w:r>
    </w:p>
    <w:p>
      <w:pPr>
        <w:ind w:left="420"/>
      </w:pPr>
      <w:r>
        <w:t xml:space="preserve">2. Das Verbot nach Nummer 1 gilt nicht für ein Kleinfahrzeug sowie für kleine Bewegungen auf einer Liegestelle, Umschlagstelle, Reede sowie im Schleusenbereich.</w:t>
      </w:r>
    </w:p>
    <w:p>
      <w:pPr>
        <w:ind w:left="420"/>
      </w:pPr>
      <w:r>
        <w:t xml:space="preserve">3. Ein Fahrzeug, das sich Bug zu Berg mit im Vorwärtsgang laufender Antriebsmaschine zu Tal bewegt, gilt nicht als treibendes Fahrzeug, sondern als Bergfahrer.</w:t>
      </w:r>
    </w:p>
    <w:p>
      <w:r>
        <w:rPr>
          <w:color w:val="555555"/>
          <w:sz w:val="17"/>
        </w:rPr>
        <w:t xml:space="preserve">Zitiervorschlag: § 6.19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https://recht.nulegal.eu/gesetze/BinSchStrO%202012/6.19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