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6.14 BinSchStrO 2012 — Verhalten vor der Abfahrt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§ 6.13 Nummer 1 bis 3 gilt nach Maßgabe der nachstehenden Nummer 2 entsprechend für ein Fahrzeug, das seinen Liege- oder Ankerplatz verlässt, ohne zu wenden.</w:t>
      </w:r>
    </w:p>
    <w:p>
      <w:pPr>
        <w:ind w:left="420"/>
      </w:pPr>
      <w:r>
        <w:t xml:space="preserve">2. Ein Fahrzeug, das seinen Liege- oder Ankerplatz verlässt, hat statt der in § 6.13 Nummer 2 bezeichneten Schallzeichen die folgenden Zeichen zu geben:</w:t>
      </w:r>
    </w:p>
    <w:p>
      <w:pPr>
        <w:ind w:left="780"/>
      </w:pPr>
      <w:r>
        <w:t xml:space="preserve">a) „einen kurzen Ton“, wenn es seinen Kurs nach Steuerbord richtet;</w:t>
      </w:r>
    </w:p>
    <w:p>
      <w:pPr>
        <w:ind w:left="780"/>
      </w:pPr>
      <w:r>
        <w:t xml:space="preserve">b) „zwei kurze Töne“, wenn es seinen Kurs nach Backbord richtet.</w:t>
      </w:r>
    </w:p>
    <w:p>
      <w:r>
        <w:rPr>
          <w:color w:val="555555"/>
          <w:sz w:val="17"/>
        </w:rPr>
        <w:t xml:space="preserve">Zitiervorschlag: § 6.14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https://recht.nulegal.eu/gesetze/BinSchStrO%202012/6.14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