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6.11 BinSchStrO 2012 — Überholverbot durch Schifffahrtszeichen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Unbeschadet des § 6.08 Nummer 1 besteht</w:t>
      </w:r>
    </w:p>
    <w:p>
      <w:r>
        <w:rPr>
          <w:rFonts w:ascii="Courier New" w:hAnsi="Courier New"/>
          <w:sz w:val="17"/>
        </w:rPr>
        <w:t xml:space="preserve">1.auf einer Strecke, deren Beginn durch das Tafelzeichen A.2(Anlage 7) gekennzeichnet ist, ein allgemeines Überholverbot;    [Abbildung]</w:t>
      </w:r>
    </w:p>
    <w:p>
      <w:r>
        <w:rPr>
          <w:rFonts w:ascii="Courier New" w:hAnsi="Courier New"/>
          <w:sz w:val="17"/>
        </w:rPr>
        <w:t xml:space="preserve">2.auf einer Strecke, deren Beginn durch das Tafelzeichen A.3(Anlage 7) gekennzeichnet ist, ein Überholverbot für Verbände untereinander;dies gilt nicht, sofern einer der Verbände ein Schubverband ist,dessen Länge 110,00 m und dessen Breite 12,00 m nicht überschreiten.    [Abbildung]</w:t>
      </w:r>
    </w:p>
    <w:p>
      <w:r>
        <w:t xml:space="preserve">* amtlicher Hinweis: Vorschrift gilt weder für ein Kleinfahrzeug oder einen Verband im Sinne des § 6.02 Nummer 1 Satz 1 noch ist sie ihm gegenüber anzuwenden.</w:t>
      </w:r>
    </w:p>
    <w:p>
      <w:r>
        <w:rPr>
          <w:color w:val="555555"/>
          <w:sz w:val="17"/>
        </w:rPr>
        <w:t xml:space="preserve">Zitiervorschlag: § 6.11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https://recht.nulegal.eu/gesetze/BinSchStrO%202012/6.11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