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6.03 BinSchStrO 2012 — Allgemeine Grundsätze</w:t>
      </w:r>
    </w:p>
    <w:p>
      <w:r>
        <w:rPr>
          <w:color w:val="555555"/>
          <w:sz w:val="18"/>
        </w:rPr>
        <w:t xml:space="preserve">Binnenschifffahrtsstraßen-Ordnung</w:t>
      </w:r>
    </w:p>
    <w:p>
      <w:r>
        <w:rPr>
          <w:color w:val="555555"/>
          <w:sz w:val="18"/>
        </w:rPr>
        <w:t xml:space="preserve">Stand: 10.06.2019 (konsolidierte Textfassung, kein amtliches Inkrafttretensdatum)</w:t>
      </w:r>
    </w:p>
    <w:p>
      <w:pPr>
        <w:ind w:left="420"/>
      </w:pPr>
      <w:r>
        <w:t xml:space="preserve">1. Das Begegnen, Kreuzen oder Überholen ist nur gestattet, wenn das Fahrwasser unter Berücksichtigung aller örtlichen Umstände und des übrigen Verkehrs hinreichenden Raum für die Vorbeifahrt gewährt.</w:t>
      </w:r>
    </w:p>
    <w:p>
      <w:pPr>
        <w:ind w:left="420"/>
      </w:pPr>
      <w:r>
        <w:t xml:space="preserve">2. Fahren Fahrzeuge in einem Verband, sind die nach den §§ 3.17, 6.04 und 6.10 vorgeschriebenen Zeichen nur von dem Fahrzeug zu geben, auf dem sich der Führer des Verbandes befindet, bei Schleppverbänden von dem motorisierten Fahrzeug an der Spitze des Verbandes.</w:t>
      </w:r>
    </w:p>
    <w:p>
      <w:pPr>
        <w:ind w:left="420"/>
      </w:pPr>
      <w:r>
        <w:t xml:space="preserve">3. Beim Begegnen, Kreuzen oder Überholen dürfen Fahrzeuge, deren Kurse jede Gefahr eines Zusammenstoßes ausschließen, ihren Kurs oder ihre Geschwindigkeit nicht in einer Weise ändern, die die Gefahr eines Zusammenstoßes herbeiführen könnte.</w:t>
      </w:r>
    </w:p>
    <w:p>
      <w:r>
        <w:rPr>
          <w:color w:val="555555"/>
          <w:sz w:val="17"/>
        </w:rPr>
        <w:t xml:space="preserve">Zitiervorschlag: § 6.03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https://recht.nulegal.eu/gesetze/BinSchStrO%202012/6.03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