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5.02 BinSchStrO 2012 — Bezeichnung der Wasserstraße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Anlage 8 enthält die Schifffahrtszeichen, die ausgelegt oder aufgestellt werden können, um die Schifffahrt zu erleichtern. Sie führt auf, unter welchen Voraussetzungen die verschiedenen Schifffahrtszeichen verwendet werden.</w:t>
      </w:r>
    </w:p>
    <w:p>
      <w:pPr>
        <w:ind w:left="420"/>
      </w:pPr>
      <w:r>
        <w:t xml:space="preserve">2. Anlage 8 bestimmt zudem die Schifffahrtszeichen für die Bezeichnung von vorübergehend bestehenden gefährlichen Stellen und Hindernissen.</w:t>
      </w:r>
    </w:p>
    <w:p>
      <w:r>
        <w:rPr>
          <w:color w:val="555555"/>
          <w:sz w:val="17"/>
        </w:rPr>
        <w:t xml:space="preserve">Zitiervorschlag: § 5.02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https://recht.nulegal.eu/gesetze/BinSchStrO%202012/5.02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