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4.07 BinSchStrO 2012 — Inland AIS und Inland ECDIS</w:t>
      </w:r>
    </w:p>
    <w:p>
      <w:r>
        <w:rPr>
          <w:color w:val="555555"/>
          <w:sz w:val="18"/>
        </w:rPr>
        <w:t xml:space="preserve">Binnenschifffahrtsstraßen-Ordnung</w:t>
      </w:r>
    </w:p>
    <w:p>
      <w:r>
        <w:rPr>
          <w:color w:val="555555"/>
          <w:sz w:val="18"/>
        </w:rPr>
        <w:t xml:space="preserve">Stand: 21.10.2025 (konsolidierte Textfassung, kein amtliches Inkrafttretensdatum)</w:t>
      </w:r>
    </w:p>
    <w:p>
      <w:r>
        <w:t xml:space="preserve">Auf den Wasserstraßen Neckar, Main, Main-Donau-Kanal, Ruhr, Rhein-Herne-Kanal, Wesel-Datteln-Kanal, Datteln-Hamm-Kanal, Dortmund-Ems-Kanal, Küstenkanal, Mittellandkanal einschließlich der Stichkanäle und des Rothenseer Verbindungskanals, Elbe-Seitenkanal, Elbe-Havel-Kanal einschließlich Großer Wendsee mit Niegripper Verbindungskanal und Pareyer Verbindungskanal, Weser von km 204,40 bis km 366,70 und UWe-km 0,00 bis UWe-km 1,375, Elbe, Elbe-Lübeck-Kanal, Kanaltrave, Saar von km 0,00 bis km 87,20, Spree-Oder-Wasserstraße von km 0,00 bis km 18,25 mit Ruhlebener Altarm, Berlin-Spandauer-Schifffahrtskanal mit Westhafen-Verbindungskanal, Westhafenkanal und Charlottenburger Verbindungskanal, Teltowkanal von km 0,00 bis km 37,00, Untere Havel-Wasserstraße von km 0,00 bis km 67,82 und von km 146,20 bis km 148,48 mit Großer Wannsee und Potsdamer Havel, Havelkanal und Havel-Oder-Wasserstraße mit Verbindungskanal Hohensaaten Ost, Verbindungskanal Schwedter Querfahrt und Veltener Stichkanal, Saale und Donau gelten die folgenden Regelungen zu Inland AIS und Inland ECDIS:</w:t>
      </w:r>
    </w:p>
    <w:p>
      <w:pPr>
        <w:ind w:left="420"/>
      </w:pPr>
      <w:r>
        <w:t xml:space="preserve">1. Ein Fahrzeug muss mit einem Inland AIS Gerät nach Artikel 7.06 Nummer 3 ES-TRIN ausgestattet sein. Das Inland AIS Gerät muss in einem guten Betriebszustand sein. Die Sätze 1 und 2 gelten nicht für</w:t>
      </w:r>
    </w:p>
    <w:p>
      <w:pPr>
        <w:ind w:left="780"/>
      </w:pPr>
      <w:r>
        <w:t xml:space="preserve">a) ein Fahrzeug von Schubverbänden und gekuppelten Fahrzeugen, ausgenommen das Fahrzeug, das die Hauptantriebskraft stellt,</w:t>
      </w:r>
    </w:p>
    <w:p>
      <w:pPr>
        <w:ind w:left="780"/>
      </w:pPr>
      <w:r>
        <w:t xml:space="preserve">b) ein Kleinfahrzeug,</w:t>
      </w:r>
    </w:p>
    <w:p>
      <w:pPr>
        <w:ind w:left="780"/>
      </w:pPr>
      <w:r>
        <w:t xml:space="preserve">c) einen Schubleichter ohne eigenen Antrieb,</w:t>
      </w:r>
    </w:p>
    <w:p>
      <w:pPr>
        <w:ind w:left="780"/>
      </w:pPr>
      <w:r>
        <w:t xml:space="preserve">d) ein schwimmendes Gerät ohne eigenen Antrieb,</w:t>
      </w:r>
    </w:p>
    <w:p>
      <w:pPr>
        <w:ind w:left="780"/>
      </w:pPr>
      <w:r>
        <w:t xml:space="preserve">e) eine Fähre, soweit diese von der Verpflichtung zur Ausrüstung mit einer Sprechfunkanlage nach § 4.05 Nummer 3 befreit ist.</w:t>
      </w:r>
    </w:p>
    <w:p>
      <w:pPr>
        <w:ind w:left="420"/>
      </w:pPr>
      <w:r>
        <w:t xml:space="preserve">2. Folgende Anforderungen müssen bei der Nutzung des Inland AIS Gerätes erfüllt sein:</w:t>
      </w:r>
    </w:p>
    <w:p>
      <w:pPr>
        <w:ind w:left="780"/>
      </w:pPr>
      <w:r>
        <w:t xml:space="preserve">a) das Inland AIS Gerät muss ständig eingeschaltet sein,</w:t>
      </w:r>
    </w:p>
    <w:p>
      <w:pPr>
        <w:ind w:left="780"/>
      </w:pPr>
      <w:r>
        <w:t xml:space="preserve">b) das Inland AIS Gerät muss mit maximaler Leistung senden; dies gilt nicht für ein Tankschiff mit dem Navigationsstatus „festgemacht“,</w:t>
      </w:r>
    </w:p>
    <w:p>
      <w:pPr>
        <w:ind w:left="780"/>
      </w:pPr>
      <w:r>
        <w:t xml:space="preserve">c) es darf immer nur ein Inland AIS Gerät an Bord eines Fahrzeugs oder Verbandes im Sendebetrieb sein,</w:t>
      </w:r>
    </w:p>
    <w:p>
      <w:pPr>
        <w:ind w:left="780"/>
      </w:pPr>
      <w:r>
        <w:t xml:space="preserve">d) die eingegebenen Daten des im Sendebetrieb befindlichen Inland AIS Gerätes müssen zu jedem Zeitpunkt den tatsächlichen Daten des Fahrzeugs oder Verbandes entsprechen.</w:t>
      </w:r>
    </w:p>
    <w:p>
      <w:pPr>
        <w:ind w:left="420"/>
      </w:pPr>
      <w:r>
        <w:t xml:space="preserve">Satz 1 Buchstabe a gilt nicht</w:t>
      </w:r>
    </w:p>
    <w:p>
      <w:pPr>
        <w:ind w:left="780"/>
      </w:pPr>
      <w:r>
        <w:t xml:space="preserve">a) für den Fall, dass die zuständige Behörde eine Ausnahme für Wasserflächen gewährt hat, die von der Fahrrinne baulich getrennt sind,</w:t>
      </w:r>
    </w:p>
    <w:p>
      <w:pPr>
        <w:ind w:left="780"/>
      </w:pPr>
      <w:r>
        <w:t xml:space="preserve">b) für ein Fahrzeug der Polizei, wenn die Übermittlung von AIS-Daten die Erfüllung polizeilicher Aufgaben gefährden würde.</w:t>
      </w:r>
    </w:p>
    <w:p>
      <w:pPr>
        <w:ind w:left="420"/>
      </w:pPr>
      <w:r>
        <w:t xml:space="preserve">3. Ein Fahrzeug, das mit einem Inland AIS Gerät ausgerüstet sein muss, muss zusätzlich mit einem Inland ECDIS Gerät mit mindestens dem Informationsmodus nach Maßgabe der Sätze 3 bis 5, das mit dem Inland AIS Gerät verbunden sein muss, ausgestattet sein. Das Inland ECDIS Gerät muss zusammen mit einer aktuellen elektronischen Binnenschifffahrtskarte genutzt werden. Das Inland ECDIS Gerät und die elektronische Binnenschifffahrtskarte müssen den Anforderungen der Durchführungsverordnung (EU) Nr. 909/2013 der Kommission vom 10. September 2013 zu den technischen Spezifikationen für das System zur elektronischen Darstellung von Binnenschifffahrtskarten und von damit verbundenen Informationen (Inland ECDIS) gemäß der Richtlinie 2005/44/EG des Europäischen Parlaments und des Rates (ABl. L 258 vom 28.9.2013, S. 1), die durch die Durchführungsverordnung (EU) 2018/1973 (ABl. L 324 vom 19.12.2018, S. 1) geändert worden ist, entsprechen, die in Teil I „Elektronisches Kartendarstellungs- und Informationssystem für die Binnenschifffahrt“ des ES-RIS wiedergegeben ist. Das Inland ECDIS Gerät muss in einem guten Betriebszustand sein. Ein Inland ECDIS Gerät, das den Anforderungen der am 26. September 2022 anzuwendenden Fassung der Binnenschifffahrtsstraßen-Ordnung entspricht, darf bis zum Ablauf des 19. Juni 2024 weiterhin betrieben werden. Die Sätze 1 bis 4 gelten nicht für eine Fähre.</w:t>
      </w:r>
    </w:p>
    <w:p>
      <w:pPr>
        <w:ind w:left="420"/>
      </w:pPr>
      <w:r>
        <w:t xml:space="preserve">4. Es müssen folgende Daten nach der Durchführungsverordnung (EU) 2019/838, die in Teil II „Standard für Verfolgungs- und Aufspürungssysteme in der Binnenschifffahrt“ des ES-RIS wiedergegeben ist, unverzüglich nach Fahrtantritt übermittelt werden:</w:t>
      </w:r>
    </w:p>
    <w:p>
      <w:pPr>
        <w:ind w:left="780"/>
      </w:pPr>
      <w:r>
        <w:t xml:space="preserve">a) User Identifier (Maritime Mobile Service Identity, MMSI);</w:t>
      </w:r>
    </w:p>
    <w:p>
      <w:pPr>
        <w:ind w:left="780"/>
      </w:pPr>
      <w:r>
        <w:t xml:space="preserve">b) Schiffsname;</w:t>
      </w:r>
    </w:p>
    <w:p>
      <w:pPr>
        <w:ind w:left="780"/>
      </w:pPr>
      <w:r>
        <w:t xml:space="preserve">c) Fahrzeug- oder Verbandstyp nach der Durchführungsverordnung (EU) 2019/838, die in Teil II „Standard für Verfolgungs- und Aufspürungssysteme in der Binnenschifffahrt“ des ES-RIS wiedergegeben ist;</w:t>
      </w:r>
    </w:p>
    <w:p>
      <w:pPr>
        <w:ind w:left="780"/>
      </w:pPr>
      <w:r>
        <w:t xml:space="preserve">d) einheitliche europäische Schiffsnummer (ENI), oder, für die Seeschiffe sofern keine ENI erteilt wurde, die IMO Nummer;</w:t>
      </w:r>
    </w:p>
    <w:p>
      <w:pPr>
        <w:ind w:left="780"/>
      </w:pPr>
      <w:r>
        <w:t xml:space="preserve">e) Länge über alles des Fahrzeugs oder Verbandes mit einer Genauigkeit von 0,1 m;</w:t>
      </w:r>
    </w:p>
    <w:p>
      <w:pPr>
        <w:ind w:left="780"/>
      </w:pPr>
      <w:r>
        <w:t xml:space="preserve">f) Breite über alles des Fahrzeugs oder Verbandes mit einer Genauigkeit von 0,1 m;</w:t>
      </w:r>
    </w:p>
    <w:p>
      <w:pPr>
        <w:ind w:left="780"/>
      </w:pPr>
      <w:r>
        <w:t xml:space="preserve">g) Position im Kartenstandard WGS 84;</w:t>
      </w:r>
    </w:p>
    <w:p>
      <w:pPr>
        <w:ind w:left="780"/>
      </w:pPr>
      <w:r>
        <w:t xml:space="preserve">h) Geschwindigkeit über Grund;</w:t>
      </w:r>
    </w:p>
    <w:p>
      <w:pPr>
        <w:ind w:left="780"/>
      </w:pPr>
      <w:r>
        <w:t xml:space="preserve">i) Kurs über Grund;</w:t>
      </w:r>
    </w:p>
    <w:p>
      <w:pPr>
        <w:ind w:left="780"/>
      </w:pPr>
      <w:r>
        <w:t xml:space="preserve">j) Zeitangabe der elektronischen Positionsermittlung;</w:t>
      </w:r>
    </w:p>
    <w:p>
      <w:pPr>
        <w:ind w:left="780"/>
      </w:pPr>
      <w:r>
        <w:t xml:space="preserve">k) Navigationsstatus nach Anlage 9;</w:t>
      </w:r>
    </w:p>
    <w:p>
      <w:pPr>
        <w:ind w:left="780"/>
      </w:pPr>
      <w:r>
        <w:t xml:space="preserve">l) Bezugspunkt der Positionsinformation auf dem Fahrzeug mit einer Genauigkeit von 1 m nach Anlage 9;</w:t>
      </w:r>
    </w:p>
    <w:p>
      <w:pPr>
        <w:ind w:left="780"/>
      </w:pPr>
      <w:r>
        <w:t xml:space="preserve">m) Rufzeichen.</w:t>
      </w:r>
    </w:p>
    <w:p>
      <w:pPr>
        <w:ind w:left="420"/>
      </w:pPr>
      <w:r>
        <w:t xml:space="preserve">5. Der Schiffsführer muss folgende Daten unverzüglich nach Auftreten einer Änderung umgehend aktualisieren:</w:t>
      </w:r>
    </w:p>
    <w:p>
      <w:pPr>
        <w:ind w:left="780"/>
      </w:pPr>
      <w:r>
        <w:t xml:space="preserve">a) Länge über alles mit einer Genauigkeit von 0,1 m nach Anlage 9;</w:t>
      </w:r>
    </w:p>
    <w:p>
      <w:pPr>
        <w:ind w:left="780"/>
      </w:pPr>
      <w:r>
        <w:t xml:space="preserve">b) Breite über alles mit einer Genauigkeit von 0,1 m nach Anlage 9;</w:t>
      </w:r>
    </w:p>
    <w:p>
      <w:pPr>
        <w:ind w:left="780"/>
      </w:pPr>
      <w:r>
        <w:t xml:space="preserve">c) Fahrzeug- oder Verbandstyp nach der Durchführungsverordnung (EU) 2019/838, die in Teil II „Standard für Verfolgungs- und Aufspürungssysteme in der Binnenschifffahrt“ des ES-RIS wiedergegeben ist;</w:t>
      </w:r>
    </w:p>
    <w:p>
      <w:pPr>
        <w:ind w:left="780"/>
      </w:pPr>
      <w:r>
        <w:t xml:space="preserve">d) Navigationsstatus nach Anlage 9;</w:t>
      </w:r>
    </w:p>
    <w:p>
      <w:pPr>
        <w:ind w:left="780"/>
      </w:pPr>
      <w:r>
        <w:t xml:space="preserve">e) Bezugspunkt der Positionsinformation auf dem Fahrzeug mit einer Genauigkeit von 1 m nach Anlage 9.</w:t>
      </w:r>
    </w:p>
    <w:p>
      <w:pPr>
        <w:ind w:left="420"/>
      </w:pPr>
      <w:r>
        <w:t xml:space="preserve">6. Ein Kleinfahrzeug, das AIS nutzt, darf nur folgende AIS Geräte verwenden:</w:t>
      </w:r>
    </w:p>
    <w:p>
      <w:pPr>
        <w:ind w:left="780"/>
      </w:pPr>
      <w:r>
        <w:t xml:space="preserve">a) Inland AIS Geräte nach Artikel 7.06 Nummer 3 ES-TRIN,</w:t>
      </w:r>
    </w:p>
    <w:p>
      <w:pPr>
        <w:ind w:left="780"/>
      </w:pPr>
      <w:r>
        <w:t xml:space="preserve">b) nach den Vorschriften der IMO typzugelassene AIS Geräte der Klasse A,</w:t>
      </w:r>
    </w:p>
    <w:p>
      <w:pPr>
        <w:ind w:left="780"/>
      </w:pPr>
      <w:r>
        <w:t xml:space="preserve">c) AIS Geräte der Klasse B, die den einschlägigen Anforderungen der Empfehlung ITU-R M.1371, der Richtlinie 2014/53/EU des Europäischen Parlaments und des Rates vom 16. April 2014 über die Harmonisierung der Rechtsvorschriften der Mitgliedstaaten über die Bereitstellung von Funkanlagen auf dem Markt und zur Aufhebung der Richtlinie 1999/5/EG und der internationalen Norm IEC 62287-1 oder 2[*] (einschließlich DSC Kanalmanagement) entsprechen; AIS Geräte der Klasse B, die den Anforderungen der am 8. November 2019 geltenden Fassung der Binnenschifffahrtsstraßen-Ordnung entsprechen, dürfen weiterhin verwendet werden.</w:t>
      </w:r>
    </w:p>
    <w:p>
      <w:pPr>
        <w:ind w:left="420"/>
      </w:pPr>
      <w:r>
        <w:t xml:space="preserve">Das AIS Gerät muss in einem guten Betriebszustand sein. Die in das AIS Gerät eingegebenen Daten müssen zu jedem Zeitpunkt den tatsächlichen Daten des Fahrzeugs oder Verbandes entsprechen.</w:t>
      </w:r>
    </w:p>
    <w:p>
      <w:pPr>
        <w:ind w:left="420"/>
      </w:pPr>
      <w:r>
        <w:t xml:space="preserve">7. Ein Kleinfahrzeug, dem keine einheitliche europäische Schiffsnummer (ENI) erteilt wurde, braucht die Daten nach Nummer 4 Buchstabe d nicht zu übermitteln.</w:t>
      </w:r>
    </w:p>
    <w:p>
      <w:pPr>
        <w:ind w:left="420"/>
      </w:pPr>
      <w:r>
        <w:t xml:space="preserve">8. Ein Kleinfahrzeug, das AIS nutzt, muss zusätzlich mit einer in einem guten Betriebszustand befindlichen und auf Empfang geschalteten Sprechfunkanlage für den Verkehrskreis Schiff-Schiff ausgerüstet sein.</w:t>
      </w:r>
    </w:p>
    <w:p>
      <w:pPr>
        <w:ind w:left="420"/>
      </w:pPr>
      <w:r>
        <w:t xml:space="preserve">9. Der Schiffsführer und die nach § 1.03 Nummer 3 für Kurs und Geschwindigkeit verantwortliche Person haben jeweils sicherzustellen, dass</w:t>
      </w:r>
    </w:p>
    <w:p>
      <w:pPr>
        <w:ind w:left="780"/>
      </w:pPr>
      <w:r>
        <w:t xml:space="preserve">a) das Inland AIS Gerät ständig eingeschaltet ist,</w:t>
      </w:r>
    </w:p>
    <w:p>
      <w:pPr>
        <w:ind w:left="780"/>
      </w:pPr>
      <w:r>
        <w:t xml:space="preserve">b) das Inland AIS Gerät auf einem Fahrzeug mit der maximalen Leistung sendet; dies gilt nicht für ein Tankschiff mit dem Navigationsstatus „festgemacht“,</w:t>
      </w:r>
    </w:p>
    <w:p>
      <w:pPr>
        <w:ind w:left="780"/>
      </w:pPr>
      <w:r>
        <w:t xml:space="preserve">c) immer nur ein Inland AIS Gerät an Bord eines Fahrzeugs oder Verbandes im Sendebetrieb ist,</w:t>
      </w:r>
    </w:p>
    <w:p>
      <w:pPr>
        <w:ind w:left="780"/>
      </w:pPr>
      <w:r>
        <w:t xml:space="preserve">d) die in das im Sendebetrieb befindliche Inland AIS Gerät eingegebenen Daten zu jedem Zeitpunkt den tatsächlichen Daten des Fahrzeugs oder Verbandes entsprechen,</w:t>
      </w:r>
    </w:p>
    <w:p>
      <w:pPr>
        <w:ind w:left="780"/>
      </w:pPr>
      <w:r>
        <w:t xml:space="preserve">e) in dem in Nummer 3 Satz 1 genannten Fall ein Inland ECDIS Gerät im Informationsmodus, das mit dem Inland AIS Gerät verbunden ist, zusammen mit einer elektronischen Binnenschifffahrtskarte genutzt wird.</w:t>
      </w:r>
    </w:p>
    <w:p>
      <w:pPr>
        <w:ind w:left="420"/>
      </w:pPr>
      <w:r>
        <w:t xml:space="preserve">10. Der Schiffsführer hat</w:t>
      </w:r>
    </w:p>
    <w:p>
      <w:pPr>
        <w:ind w:left="780"/>
      </w:pPr>
      <w:r>
        <w:t xml:space="preserve">a) sicherzustellen, dass</w:t>
      </w:r>
    </w:p>
    <w:p>
      <w:pPr>
        <w:ind w:left="1140"/>
      </w:pPr>
      <w:r>
        <w:t xml:space="preserve">aa) das von ihm geführte Fahrzeug</w:t>
      </w:r>
    </w:p>
    <w:p>
      <w:pPr>
        <w:ind w:left="1500"/>
      </w:pPr>
      <w:r>
        <w:t xml:space="preserve">aaa) mit einem Inland AIS Gerät nach Nummer 1 Satz 1 ausgestattet ist,</w:t>
      </w:r>
    </w:p>
    <w:p>
      <w:pPr>
        <w:ind w:left="1500"/>
      </w:pPr>
      <w:r>
        <w:t xml:space="preserve">bbb) in dem in Nummer 3 Satz 1 genannten Fall mit einem dort genannten Inland ECDIS Gerät ausgestattet ist und</w:t>
      </w:r>
    </w:p>
    <w:p>
      <w:pPr>
        <w:ind w:left="1500"/>
      </w:pPr>
      <w:r>
        <w:t xml:space="preserve">ccc) in dem in Nummer 8 genannten Fall mit einer Sprechfunkanlage für den Verkehrskreis Schiff-Schiff ausgerüstet ist,</w:t>
      </w:r>
    </w:p>
    <w:p>
      <w:pPr>
        <w:ind w:left="1140"/>
      </w:pPr>
      <w:r>
        <w:t xml:space="preserve">bb) das Inland AIS Gerät den in Nummer 1 Satz 1 und Nummer 6 Satz 1 jeweils genannten Vorschriften entspricht und</w:t>
      </w:r>
    </w:p>
    <w:p>
      <w:pPr>
        <w:ind w:left="1140"/>
      </w:pPr>
      <w:r>
        <w:t xml:space="preserve">cc) das Inland ECDIS Gerät und die elektronische Binnenschifffahrtskarte den Anforderungen der in Nummer 3 Satz 3 genannten Vorschriften entsprechen und</w:t>
      </w:r>
    </w:p>
    <w:p>
      <w:pPr>
        <w:ind w:left="1140"/>
      </w:pPr>
      <w:r>
        <w:t xml:space="preserve">dd) die in Nummer 4 genannten Daten nach Fahrtantritt vollständig übermittelt und die in Nummer 5 genannten Daten nach Auftreten einer Änderung unverzüglich und vollständig aktualisiert werden und</w:t>
      </w:r>
    </w:p>
    <w:p>
      <w:pPr>
        <w:ind w:left="780"/>
      </w:pPr>
      <w:r>
        <w:t xml:space="preserve">b) in dem in Nummer 8 genannten Fall die Sprechfunkanlage auf Empfang zu schalten.</w:t>
      </w:r>
    </w:p>
    <w:p>
      <w:pPr>
        <w:ind w:left="420"/>
      </w:pPr>
      <w:r>
        <w:t xml:space="preserve">11. Der Eigentümer und der Ausrüster dürfen jeweils die Inbetriebnahme eines Fahrzeugs nur anordnen oder zulassen, wenn</w:t>
      </w:r>
    </w:p>
    <w:p>
      <w:pPr>
        <w:ind w:left="780"/>
      </w:pPr>
      <w:r>
        <w:t xml:space="preserve">a) das Fahrzeug</w:t>
      </w:r>
    </w:p>
    <w:p>
      <w:pPr>
        <w:ind w:left="1140"/>
      </w:pPr>
      <w:r>
        <w:t xml:space="preserve">aa) mit einem Inland AIS Gerät nach Nummer 1 Satz 1 ausgestattet ist,</w:t>
      </w:r>
    </w:p>
    <w:p>
      <w:pPr>
        <w:ind w:left="1140"/>
      </w:pPr>
      <w:r>
        <w:t xml:space="preserve">bb) in dem in Nummer 3 Satz 1 genannten Fall mit einem dort genannten Inland ECDIS Gerät ausgestattet ist und</w:t>
      </w:r>
    </w:p>
    <w:p>
      <w:pPr>
        <w:ind w:left="1140"/>
      </w:pPr>
      <w:r>
        <w:t xml:space="preserve">cc) in dem in Nummer 8 genannten Fall mit einer Sprechfunkanlage für den Verkehrskreis Schiff-Schiff ausgerüstet ist,</w:t>
      </w:r>
    </w:p>
    <w:p>
      <w:pPr>
        <w:ind w:left="780"/>
      </w:pPr>
      <w:r>
        <w:t xml:space="preserve">b) das Inland AIS Gerät den in Nummer 1 Satz 1 und Nummer 6 Satz 1 jeweils genannten Vorschriften entspricht und</w:t>
      </w:r>
    </w:p>
    <w:p>
      <w:pPr>
        <w:ind w:left="780"/>
      </w:pPr>
      <w:r>
        <w:t xml:space="preserve">c) das Inland ECDIS Gerät und die elektronische Binnenschifffahrtskarte den Anforderungen der in Nummer 3 Satz 3 genannten Vorschriften entsprechen.</w:t>
      </w:r>
    </w:p>
    <w:p>
      <w:r>
        <w:t xml:space="preserve">* amtlicher Hinweis: Die Normen entsprechen den Normen DIN EN 62287-1 und DIN EN 62287-2.</w:t>
      </w:r>
    </w:p>
    <w:p>
      <w:r>
        <w:rPr>
          <w:color w:val="555555"/>
          <w:sz w:val="17"/>
        </w:rPr>
        <w:t xml:space="preserve">Zitiervorschlag: § 4.07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https://recht.nulegal.eu/gesetze/BinSchStrO%202012/4.07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