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4.06 BinSchStrO 2012 — Radar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pPr>
        <w:ind w:left="420"/>
      </w:pPr>
      <w:r>
        <w:t xml:space="preserve">1. Ein Fahrzeug darf nur dann Radar benutzen, wenn</w:t>
      </w:r>
    </w:p>
    <w:p>
      <w:pPr>
        <w:ind w:left="780"/>
      </w:pPr>
      <w:r>
        <w:t xml:space="preserve">a) es mit einem Radargerät und einem Gerät zur Anzeige der Wendegeschwindigkeit des Fahrzeugs nach Artikel 7.06 ES-TRIN ausgerüstet ist; dabei müssen die Geräte in gutem Betriebszustand sein und einem von der zuständigen Behörde eines Rheinuferstaates oder Belgiens zugelassenen schiffssicherheitstechnischen Baumuster entsprechen; eine nicht frei fahrende Fähre braucht jedoch nicht mit einem Gerät zur Anzeige der Wendegeschwindigkeit ausgerüstet zu sein,</w:t>
      </w:r>
    </w:p>
    <w:p>
      <w:pPr>
        <w:ind w:left="780"/>
      </w:pPr>
      <w:r>
        <w:t xml:space="preserve">b) sich an Bord eine Person befindet, die</w:t>
      </w:r>
    </w:p>
    <w:p>
      <w:pPr>
        <w:ind w:left="1140"/>
      </w:pPr>
      <w:r>
        <w:t xml:space="preserve">aa) ein Befähigungszeugnis mit dem Eintrag der besonderen Berechtigung für Radar,</w:t>
      </w:r>
    </w:p>
    <w:p>
      <w:pPr>
        <w:ind w:left="1140"/>
      </w:pPr>
      <w:r>
        <w:t xml:space="preserve">bb) einen nach der Binnenschiffspersonalverordnung dem Befähigungszeugnis nach Doppelbuchstabe aa gleichgestellten Nachweis oder</w:t>
      </w:r>
    </w:p>
    <w:p>
      <w:pPr>
        <w:ind w:left="1140"/>
      </w:pPr>
      <w:r>
        <w:t xml:space="preserve">cc) ein nach der Binnenschiffspersonalverordnung weitergeltendes Radarpatent</w:t>
      </w:r>
    </w:p>
    <w:p>
      <w:pPr>
        <w:ind w:left="780"/>
      </w:pPr>
      <w:r>
        <w:t xml:space="preserve">besitzt.</w:t>
      </w:r>
    </w:p>
    <w:p>
      <w:pPr>
        <w:ind w:left="420"/>
      </w:pPr>
      <w:r>
        <w:t xml:space="preserve">Ein Kleinfahrzeug muss außerdem mit einer in gutem Betriebszustand befindlichen Sprechfunkanlage für den Verkehrskreis Schiff-Schiff ausgerüstet sein. Unbeschadet des § 1.09 Nummer 3 kann jedoch am Tag bei guter Sicht abweichend von Satz 1 Buchstabe b Radar zu Ausbildungszwecken verwendet werden, auch wenn sich eine Person nach Satz 1 Buchstabe b nicht an Bord befindet. Wenn eine Zielverfolgung gleichzeitig mit Radar und AIS erfolgt, ist die Radarinformation der Navigation als die maßgebende Information zu Grunde zu legen.</w:t>
      </w:r>
    </w:p>
    <w:p>
      <w:pPr>
        <w:ind w:left="420"/>
      </w:pPr>
      <w:r>
        <w:t xml:space="preserve">2. Bei einem Schubverband oder gekuppelten Fahrzeugen gilt Nummer 1 nur für das Fahrzeug, auf dem sich der Führer des Verbandes befindet.</w:t>
      </w:r>
    </w:p>
    <w:p>
      <w:pPr>
        <w:ind w:left="420"/>
      </w:pPr>
      <w:r>
        <w:t xml:space="preserve">3. Der Schiffsführer und die nach § 1.03 Nummer 3 für Kurs und Geschwindigkeit verantwortliche Person haben jeweils sicherzustellen, dass auf dem Fahrzeug Radar nur nach den in Nummer 1 Satz 1, auch in Verbindung mit Satz 2 und 4, genannten Anforderungen genutzt wird.</w:t>
      </w:r>
    </w:p>
    <w:p>
      <w:pPr>
        <w:ind w:left="420"/>
      </w:pPr>
      <w:r>
        <w:t xml:space="preserve">4. Der Eigentümer und der Ausrüster dürfen jeweils die Radarfahrt eines Fahrzeugs oder Verbandes nur anordnen oder zulassen, wenn</w:t>
      </w:r>
    </w:p>
    <w:p>
      <w:pPr>
        <w:ind w:left="780"/>
      </w:pPr>
      <w:r>
        <w:t xml:space="preserve">a) das Fahrzeug oder der Verband mit einem für die Binnenschifffahrt geeigneten Radargerät und einem Gerät zur Anzeige der Wendegeschwindigkeit des Fahrzeugs nach Nummer 1 Satz 1 Buchstabe a, im Falle eines Kleinfahrzeugs oder Verbandes, der nur aus Kleinfahrzeugen besteht, darüber hinaus mit einer Sprechfunkanlage nach Nummer 1 Satz 2, ausgerüstet und</w:t>
      </w:r>
    </w:p>
    <w:p>
      <w:pPr>
        <w:ind w:left="780"/>
      </w:pPr>
      <w:r>
        <w:t xml:space="preserve">b) das Fahrzeug oder der Verband mit einer geeigneten Person nach Nummer 1 Satz 1 Buchstabe b besetzt</w:t>
      </w:r>
    </w:p>
    <w:p>
      <w:pPr>
        <w:ind w:left="420"/>
      </w:pPr>
      <w:r>
        <w:t xml:space="preserve">ist.</w:t>
      </w:r>
    </w:p>
    <w:p>
      <w:r>
        <w:rPr>
          <w:color w:val="555555"/>
          <w:sz w:val="17"/>
        </w:rPr>
        <w:t xml:space="preserve">Zitiervorschlag: § 4.06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https://recht.nulegal.eu/gesetze/BinSchStrO%202012/4.06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