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4.02 BinSchStrO 2012 — Gebrauch der Schallzeichen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Vorbehaltlich anderer Bestimmungen dieser Verordnung muss jedes Fahrzeug – mit Ausnahme eines Kleinfahrzeugs – in den in Anlage 6 genannten Fällen die dort jeweils genannten Schallzeichen geben.</w:t>
      </w:r>
    </w:p>
    <w:p>
      <w:pPr>
        <w:ind w:left="420"/>
      </w:pPr>
      <w:r>
        <w:t xml:space="preserve">2. Ein Kleinfahrzeug kann erforderlichenfalls die allgemeinen Schallzeichen nach Abschnitt A der Anlage 6 geben.</w:t>
      </w:r>
    </w:p>
    <w:p>
      <w:pPr>
        <w:ind w:left="420"/>
      </w:pPr>
      <w:r>
        <w:t xml:space="preserve">3. Der Schiffsführer und die nach § 1.03 Nummer 3 für Kurs und Geschwindigkeit verantwortliche Person müssen jeweils sicherstellen, dass nach Nummer 1 vorgeschriebene Schallzeichen gegeben werden.</w:t>
      </w:r>
    </w:p>
    <w:p>
      <w:r>
        <w:rPr>
          <w:color w:val="555555"/>
          <w:sz w:val="17"/>
        </w:rPr>
        <w:t xml:space="preserve">Zitiervorschlag: § 4.02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https://recht.nulegal.eu/gesetze/BinSchStrO%202012/4.02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