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3.28a BinSchStrO 2012 — Bezeichnung und Fahrregeln für Mehrzweckfahrzeuge der Bundeswehr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 Mehrzweckfahrzeug der Bundeswehr führt während der Fahrt bei Nacht die Lichter nach § 3.08 Nummer 1 und 1,00 m oberhalb des Topplichtes zusätzlich ein von allen Seiten sichtbares gelbes gewöhnliches Funkellicht oder ein von allen Seiten sichtbares gelbes helles Funkellicht, das bei Nacht und bei Tag eingeschaltet sein muss.</w:t>
      </w:r>
    </w:p>
    <w:p>
      <w:pPr>
        <w:ind w:left="420"/>
      </w:pPr>
      <w:r>
        <w:t xml:space="preserve">2. Das Fahrzeug nach Nummer 1 verhält sich während der Fahrt grundsätzlich wie ein Kleinfahrzeug. Es gelten die §§ 6.02 und 6.02a Nummer 1 und 4.</w:t>
      </w:r>
    </w:p>
    <w:p>
      <w:r>
        <w:rPr>
          <w:color w:val="555555"/>
          <w:sz w:val="17"/>
        </w:rPr>
        <w:t xml:space="preserve">Zitiervorschlag: § 3.28a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https://recht.nulegal.eu/gesetze/BinSchStrO%202012/3.28a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