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3.27 BinSchStrO 2012 — Bezeichnung der Fahrzeuge der Überwachungsbehörden (Anlage 3: Bild 56)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15.10.2024 (konsolidierte Textfassung, kein amtliches Inkrafttretensdatum)</w:t>
      </w:r>
    </w:p>
    <w:p>
      <w:r>
        <w:t xml:space="preserve">Ein Fahrzeug der Überwachungsbehörden nach § 1.20 kann bei Nacht und bei Tag ein blaues Funkellicht zeigen, um sich kenntlich zu machen. Dies gilt auch für ein Fahrzeug der Feuerwehr, ein Wasserrettungsfahrzeug nach § 1.24 Nummer 2 im Rettungseinsatz, ein Fahrzeug des Zivil- und Katastrophenschutzes, ein Fahrzeug der Zollverwaltung, ein Fahrzeug der Bundespolizei oder ein Fahrzeug des Bundeskriminalamtes.</w:t>
      </w:r>
    </w:p>
    <w:p>
      <w:r>
        <w:rPr>
          <w:rFonts w:ascii="Courier New" w:hAnsi="Courier New"/>
          <w:sz w:val="17"/>
        </w:rPr>
        <w:t xml:space="preserve">    [Abbildung]    [Abbildung]</w:t>
      </w:r>
    </w:p>
    <w:p>
      <w:r>
        <w:rPr>
          <w:color w:val="555555"/>
          <w:sz w:val="17"/>
        </w:rPr>
        <w:t xml:space="preserve">Zitiervorschlag: § 3.27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