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3.25 BinSchStrO 2012 — Bezeichnung schwimmender Geräte bei der Arbeit sowie festgefahrener oder gesunkener Fahrzeuge (Anlage 3: Bild 49a, 49b, 50a, 50b, 51, 52)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schwimmendes Gerät bei der Arbeit oder ein Fahrzeug, das in der Wasserstraße Arbeiten, Peilungen oder andere Messungen ausführt und dabei stillliegt, muss führen:</w:t>
      </w:r>
    </w:p>
    <w:p>
      <w:pPr>
        <w:ind w:left="780"/>
      </w:pPr>
      <w:r>
        <w:t xml:space="preserve">a) nach der Seite oder den Seiten, an der oder denen die Durchfahrt frei ist:</w:t>
      </w:r>
    </w:p>
    <w:p>
      <w:pPr>
        <w:ind w:left="1140"/>
      </w:pPr>
      <w:r>
        <w:t xml:space="preserve">aa) bei Nacht:</w:t>
      </w:r>
    </w:p>
    <w:p>
      <w:r>
        <w:rPr>
          <w:rFonts w:ascii="Courier New" w:hAnsi="Courier New"/>
          <w:sz w:val="17"/>
        </w:rPr>
        <w:t xml:space="preserve">übereinander zwei grüne gewöhnliche Lichter oder zweigrüne helle Lichter;    [Abbildung]</w:t>
      </w:r>
    </w:p>
    <w:p>
      <w:pPr>
        <w:ind w:left="1140"/>
      </w:pPr>
      <w:r>
        <w:t xml:space="preserve">bb) bei Tag: entweder</w:t>
      </w:r>
    </w:p>
    <w:p>
      <w:r>
        <w:rPr>
          <w:rFonts w:ascii="Courier New" w:hAnsi="Courier New"/>
          <w:sz w:val="17"/>
        </w:rPr>
        <w:t xml:space="preserve">aaa)das Tafelzeichen E.1 (Anlage 7)    [Abbildung]</w:t>
      </w:r>
    </w:p>
    <w:p>
      <w:pPr>
        <w:ind w:left="1140"/>
      </w:pPr>
      <w:r>
        <w:t xml:space="preserve">oder</w:t>
      </w:r>
    </w:p>
    <w:p>
      <w:r>
        <w:rPr>
          <w:rFonts w:ascii="Courier New" w:hAnsi="Courier New"/>
          <w:sz w:val="17"/>
        </w:rPr>
        <w:t xml:space="preserve">bbb)zwei grüne Doppelkegel übereinander in einemAbstand von 1,00 m    [Abbildung]</w:t>
      </w:r>
    </w:p>
    <w:p>
      <w:pPr>
        <w:ind w:left="780"/>
      </w:pPr>
      <w:r>
        <w:t xml:space="preserve">und gegebenenfalls</w:t>
      </w:r>
    </w:p>
    <w:p>
      <w:pPr>
        <w:ind w:left="780"/>
      </w:pPr>
      <w:r>
        <w:t xml:space="preserve">b) nach der Seite, an der die Durchfahrt nicht frei ist:</w:t>
      </w:r>
    </w:p>
    <w:p>
      <w:pPr>
        <w:ind w:left="1140"/>
      </w:pPr>
      <w:r>
        <w:t xml:space="preserve">aa) bei Nacht:</w:t>
      </w:r>
    </w:p>
    <w:p>
      <w:r>
        <w:rPr>
          <w:rFonts w:ascii="Courier New" w:hAnsi="Courier New"/>
          <w:sz w:val="17"/>
        </w:rPr>
        <w:t xml:space="preserve">ein rotes gewöhnliches Licht oder ein rotes helles Licht in gleicher Höhe und von gleicher Stärke wie das nachBuchstabe a Doppelbuchstabe aa gezeigte oberste grüne Licht;    [Abbildung]</w:t>
      </w:r>
    </w:p>
    <w:p>
      <w:pPr>
        <w:ind w:left="1140"/>
      </w:pPr>
      <w:r>
        <w:t xml:space="preserve">bb) bei Tag: entweder</w:t>
      </w:r>
    </w:p>
    <w:p>
      <w:r>
        <w:rPr>
          <w:rFonts w:ascii="Courier New" w:hAnsi="Courier New"/>
          <w:sz w:val="17"/>
        </w:rPr>
        <w:t xml:space="preserve">aaa)das Tafelzeichen A.1 (Anlage 7) in gleicher Höhe wiedas Tafelzeichen nach Buchstabe a Doppelbuchstabebb Dreifachbuchstabe aaa    [Abbildung]</w:t>
      </w:r>
    </w:p>
    <w:p>
      <w:pPr>
        <w:ind w:left="1140"/>
      </w:pPr>
      <w:r>
        <w:t xml:space="preserve">oder</w:t>
      </w:r>
    </w:p>
    <w:p>
      <w:r>
        <w:rPr>
          <w:rFonts w:ascii="Courier New" w:hAnsi="Courier New"/>
          <w:sz w:val="17"/>
        </w:rPr>
        <w:t xml:space="preserve">bbb)einen roten Ball in gleicher Höhe wie der oberste Doppelkegel nach Buchstabe a Doppelbuchstabe bb Dreifachbuchstabe bbb.    [Abbildung]</w:t>
      </w:r>
    </w:p>
    <w:p>
      <w:pPr>
        <w:ind w:left="420"/>
      </w:pPr>
      <w:r>
        <w:t xml:space="preserve">Wenn das in Satz 1 genannte Fahrzeug gegen Sog oder Wellenschlag geschützt werden muss, muss es führen:</w:t>
      </w:r>
    </w:p>
    <w:p>
      <w:pPr>
        <w:ind w:left="780"/>
      </w:pPr>
      <w:r>
        <w:t xml:space="preserve">a) nach der Seite oder den Seiten, an der die Durchfahrt frei ist:</w:t>
      </w:r>
    </w:p>
    <w:p>
      <w:pPr>
        <w:ind w:left="1140"/>
      </w:pPr>
      <w:r>
        <w:t xml:space="preserve">aa) bei Nacht:</w:t>
      </w:r>
    </w:p>
    <w:p>
      <w:r>
        <w:rPr>
          <w:rFonts w:ascii="Courier New" w:hAnsi="Courier New"/>
          <w:sz w:val="17"/>
        </w:rPr>
        <w:t xml:space="preserve">ein rotes gewöhnliches Licht und ein weißes gewöhnlichesLicht oder ein rotes helles und ein weißes helles Licht, dasrote Licht 1,00 m über dem weißen;    [Abbildung]</w:t>
      </w:r>
    </w:p>
    <w:p>
      <w:pPr>
        <w:ind w:left="1140"/>
      </w:pPr>
      <w:r>
        <w:t xml:space="preserve">bb) bei Tag:</w:t>
      </w:r>
    </w:p>
    <w:p>
      <w:r>
        <w:rPr>
          <w:rFonts w:ascii="Courier New" w:hAnsi="Courier New"/>
          <w:sz w:val="17"/>
        </w:rPr>
        <w:t xml:space="preserve">eine Flagge, deren obere Hälfte rot und deren untere Hälfteweiß ist, oder zwei Flaggen übereinander, dieobere rot, die untere weiß,    [Abbildung]</w:t>
      </w:r>
    </w:p>
    <w:p>
      <w:pPr>
        <w:ind w:left="780"/>
      </w:pPr>
      <w:r>
        <w:t xml:space="preserve">b) nach der Seite, an der die Durchfahrt nicht frei ist:</w:t>
      </w:r>
    </w:p>
    <w:p>
      <w:pPr>
        <w:ind w:left="1140"/>
      </w:pPr>
      <w:r>
        <w:t xml:space="preserve">aa) bei Nacht: ein rotes Licht in gleicher Höhe und von gleicher Stärke wie das nach Buchstabe a Doppelbuchstabe aa gezeigte rote Licht;</w:t>
      </w:r>
    </w:p>
    <w:p>
      <w:pPr>
        <w:ind w:left="1140"/>
      </w:pPr>
      <w:r>
        <w:t xml:space="preserve">bb) bei Tag: eine rote Flagge in gleicher Höhe wie die weiß-rote Flagge oder die rote Flagge auf der anderen Seite.</w:t>
      </w:r>
    </w:p>
    <w:p>
      <w:pPr>
        <w:ind w:left="420"/>
      </w:pPr>
      <w:r>
        <w:t xml:space="preserve">Die Bezeichnung nach den Sätzen 1 und 2 ist so hoch zu setzen, dass sie von allen Seiten sichtbar ist. Die Flaggen können durch Tafeln gleicher Farbe ersetzt werden.</w:t>
      </w:r>
    </w:p>
    <w:p>
      <w:pPr>
        <w:ind w:left="420"/>
      </w:pPr>
      <w:r>
        <w:t xml:space="preserve">2. Ein festgefahrenes oder gesunkenes Fahrzeug muss die Bezeichnung nach Nummer 1 Satz 2 Buchstabe a und b führen. Liegt ein gesunkenes Fahrzeug so, dass die Zeichen nicht auf ihm angebracht werden können, müssen sie auf Nachen, Tonnen oder in anderer geeigneter Weise gesetzt werden.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pPr>
        <w:ind w:left="420"/>
      </w:pPr>
      <w:r>
        <w:t xml:space="preserve">3. Die zuständige Behörde kann von der Führung der Bezeichnung nach Nummer 1 Satz 1 Buchstabe a und b befreien.</w:t>
      </w:r>
    </w:p>
    <w:p>
      <w:r>
        <w:rPr>
          <w:color w:val="555555"/>
          <w:sz w:val="17"/>
        </w:rPr>
        <w:t xml:space="preserve">Zitiervorschlag: § 3.25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