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3.24 BinSchStrO 2012 — Bezeichnung bestimmter stillliegender Fischereifahrzeuge und der Netze oder Ausleger (Anlage 3: Bild 48)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Ein Fischereifahrzeug, ein Kleinfahrzeug eingeschlossen, das seine Netze oder Ausleger im Fahrwasser oder in dessen Nähe ausgelegt hat, muss beim Stillliegen bei Nacht die Bezeichnung nach § 3.20 Nummer 1 führen.</w:t>
      </w:r>
    </w:p>
    <w:p>
      <w:pPr>
        <w:ind w:left="420"/>
      </w:pPr>
      <w:r>
        <w:t xml:space="preserve">2. Die Netze oder Ausleger des Fahrzeugs nach Nummer 1 müssen bezeichnet sein:</w:t>
      </w:r>
    </w:p>
    <w:p>
      <w:pPr>
        <w:ind w:left="780"/>
      </w:pPr>
      <w:r>
        <w:t xml:space="preserve">a) bei Nacht:</w:t>
      </w:r>
    </w:p>
    <w:p>
      <w:r>
        <w:rPr>
          <w:rFonts w:ascii="Courier New" w:hAnsi="Courier New"/>
          <w:sz w:val="17"/>
        </w:rPr>
        <w:t xml:space="preserve">durch von allen Seiten sichtbare weiße gewöhnliche Lichter inausreichender Zahl, um ihre Lage kenntlich zu machen;    [Abbildung]</w:t>
      </w:r>
    </w:p>
    <w:p>
      <w:pPr>
        <w:ind w:left="780"/>
      </w:pPr>
      <w:r>
        <w:t xml:space="preserve">b) bei Tag:</w:t>
      </w:r>
    </w:p>
    <w:p>
      <w:r>
        <w:rPr>
          <w:rFonts w:ascii="Courier New" w:hAnsi="Courier New"/>
          <w:sz w:val="17"/>
        </w:rPr>
        <w:t xml:space="preserve">durch gelbe Döpper oder gelbe Flaggen in ausreichender Zahl, um ihre Lage kenntlichzu machen.    [Abbildung]</w:t>
      </w:r>
    </w:p>
    <w:p>
      <w:pPr>
        <w:ind w:left="420"/>
      </w:pPr>
      <w:r>
        <w:t xml:space="preserve">3. Die zuständige Behörde kann eine von Nummer 2 Buchstabe b abweichende Bezeichnung vorschreiben oder zulassen.</w:t>
      </w:r>
    </w:p>
    <w:p>
      <w:r>
        <w:rPr>
          <w:color w:val="555555"/>
          <w:sz w:val="17"/>
        </w:rPr>
        <w:t xml:space="preserve">Zitiervorschlag: § 3.24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