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3.22 BinSchStrO 2012 — Bezeichnung der Fähren, die an ihrer Anlegestelle stillliegen (Anlage 3: Bild 45, 46)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pPr>
        <w:ind w:left="420"/>
      </w:pPr>
      <w:r>
        <w:t xml:space="preserve">1. Eine nicht frei fahrende Fähre muss während des Betriebes bei Nacht beim Stillliegen an ihrer Anlegestelle die Lichter nach § 3.16 Nummer 1 führen.</w:t>
      </w:r>
    </w:p>
    <w:p>
      <w:r>
        <w:rPr>
          <w:rFonts w:ascii="Courier New" w:hAnsi="Courier New"/>
          <w:sz w:val="17"/>
        </w:rPr>
        <w:t xml:space="preserve">Außerdem muss bei einer Gierseilfähre am Längsseil bei Nacht deroberste Buchtnachen oder Döpper das Licht nach § 3.16 Nummer 2 führen.    [Abbildung]</w:t>
      </w:r>
    </w:p>
    <w:p>
      <w:pPr>
        <w:ind w:left="420"/>
      </w:pPr>
      <w:r>
        <w:t xml:space="preserve">2. Eine frei fahrende Fähre während des Betriebes bei Nacht muss beim Stillliegen an ihrer Anlegestelle die Lichter nach § 3.16 Nummer 1 führen; sie dürfen außerdem die Lichter nach § 3.08 Nummer 1 Buchstabe b und c beibehalten.</w:t>
      </w:r>
    </w:p>
    <w:p>
      <w:r>
        <w:rPr>
          <w:rFonts w:ascii="Courier New" w:hAnsi="Courier New"/>
          <w:sz w:val="17"/>
        </w:rPr>
        <w:t xml:space="preserve">Das grüne Licht nach § 3.16 Nummer 1 Buchstabe b und die Lichternach § 3.08 Nummer 1 Buchstabe b und c müssen gelöscht werden,sobald die Fähren nicht mehr in Betrieb sind.    [Abbildung]</w:t>
      </w:r>
    </w:p>
    <w:p>
      <w:r>
        <w:rPr>
          <w:color w:val="555555"/>
          <w:sz w:val="17"/>
        </w:rPr>
        <w:t xml:space="preserve">Zitiervorschlag: § 3.22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https://recht.nulegal.eu/gesetze/BinSchStrO%202012/3.22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