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3.20 BinSchStrO 2012 — Bezeichnung der Fahrzeuge beim Stillliegen (Anlage 3: Bild 40, 41)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Mit Ausnahme eines Kleinfahrzeugs und der in den §§ 3.22 und 3.25 genannten Fahrzeuge muss ein Fahrzeug beim Stillliegen bei Nacht</w:t>
      </w:r>
    </w:p>
    <w:p>
      <w:r>
        <w:rPr>
          <w:rFonts w:ascii="Courier New" w:hAnsi="Courier New"/>
          <w:sz w:val="17"/>
        </w:rPr>
        <w:t xml:space="preserve">ein von allen Seiten sichtbares weißes gewöhnliches Licht auf derFahrwasserseite mindestens 3,00 m über der Ebene der Einsenkungsmarken    [Abbildung]</w:t>
      </w:r>
    </w:p>
    <w:p>
      <w:pPr>
        <w:ind w:left="420"/>
      </w:pPr>
      <w:r>
        <w:t xml:space="preserve">führen. Anstelle der Bezeichnung nach Satz 1 können auch zwei von allen Seiten sichtbare weiße gewöhnliche Lichter auf der Fahrwasserseite in gleicher Höhe auf dem Vor- und dem Achterschiff geführt werden.</w:t>
      </w:r>
    </w:p>
    <w:p>
      <w:pPr>
        <w:ind w:left="420"/>
      </w:pPr>
      <w:r>
        <w:t xml:space="preserve">2. Ein Kleinfahrzeug – mit Ausnahme eines Beibootes – muss beim Stillliegen bei Nacht</w:t>
      </w:r>
    </w:p>
    <w:p>
      <w:r>
        <w:rPr>
          <w:rFonts w:ascii="Courier New" w:hAnsi="Courier New"/>
          <w:sz w:val="17"/>
        </w:rPr>
        <w:t xml:space="preserve">ein von allen Seiten sichtbares weißes gewöhnliches Lichtauf der Fahrwasserseite führen.    [Abbildung]</w:t>
      </w:r>
    </w:p>
    <w:p>
      <w:pPr>
        <w:ind w:left="420"/>
      </w:pPr>
      <w:r>
        <w:t xml:space="preserve">3. Die in den Nummern 1 und 2 vorgeschriebene Bezeichnung braucht nicht geführt zu werden, wenn</w:t>
      </w:r>
    </w:p>
    <w:p>
      <w:pPr>
        <w:ind w:left="780"/>
      </w:pPr>
      <w:r>
        <w:t xml:space="preserve">a) das Fahrzeug zu einer Zusammenstellung von Fahrzeugen gehört, die voraussichtlich nicht vor dem Ende der Nacht aufgelöst wird und die Fahrzeuge dieser Zusammenstellung auf der Fahrwasserseite das Licht nach Nummer 1 führen,</w:t>
      </w:r>
    </w:p>
    <w:p>
      <w:pPr>
        <w:ind w:left="780"/>
      </w:pPr>
      <w:r>
        <w:t xml:space="preserve">b) sich das Fahrzeug völlig zwischen nicht überfluteten Buhnen befindet oder hinter einem aus dem Wasser ragenden Längswerk stillliegt oder</w:t>
      </w:r>
    </w:p>
    <w:p>
      <w:pPr>
        <w:ind w:left="780"/>
      </w:pPr>
      <w:r>
        <w:t xml:space="preserve">c) das Fahrzeug am Ufer stillliegt und von diesem aus hinreichend beleuchtet ist.</w:t>
      </w:r>
    </w:p>
    <w:p>
      <w:pPr>
        <w:ind w:left="420"/>
      </w:pPr>
      <w:r>
        <w:t xml:space="preserve">4. Sind Fahrzeuge an einer besonders dafür ausgewiesenen Stelle zusammengezogen, kann die zuständige Behörde in Sonderfällen einen Teil von ihnen von der Lichterführung nach den Nummern 1 oder 2 befreien.</w:t>
      </w:r>
    </w:p>
    <w:p>
      <w:r>
        <w:rPr>
          <w:color w:val="555555"/>
          <w:sz w:val="17"/>
        </w:rPr>
        <w:t xml:space="preserve">Zitiervorschlag: § 3.20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