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3.19 BinSchStrO 2012 — Bezeichnung der Schwimmkörper und schwimmenden Anlagen in Fahrt (Anlage 3: Bild 39)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Unbeschadet der besonderen Auflagen, die nach § 1.21 festgelegt werden können, muss ein Schwimmkörper oder eine schwimmende Anlage in Fahrt bei Nacht</w:t>
      </w:r>
    </w:p>
    <w:p>
      <w:r>
        <w:rPr>
          <w:rFonts w:ascii="Courier New" w:hAnsi="Courier New"/>
          <w:sz w:val="17"/>
        </w:rPr>
        <w:t xml:space="preserve">von allen Seiten sichtbare weiße helle Lichter in genügender Zahl,um ihre Umrisse kenntlich zu machen, führen.    [Abbildung]</w:t>
      </w:r>
    </w:p>
    <w:p>
      <w:r>
        <w:rPr>
          <w:color w:val="555555"/>
          <w:sz w:val="17"/>
        </w:rPr>
        <w:t xml:space="preserve">Zitiervorschlag: § 3.19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https://recht.nulegal.eu/gesetze/BinSchStrO%202012/3.19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