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3.18 BinSchStrO 2012 — Zusätzliche Bezeichnung manövrierunfähiger Fahrzeuge in Fahrt (Anlage 3: Bild 38)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manövrierunfähiges Fahrzeug in Fahrt muss zusätzlich zu der anderen nach dieser Verordnung vorgeschriebenen Bezeichnung</w:t>
      </w:r>
    </w:p>
    <w:p>
      <w:pPr>
        <w:ind w:left="780"/>
      </w:pPr>
      <w:r>
        <w:t xml:space="preserve">a) bei Nacht:</w:t>
      </w:r>
    </w:p>
    <w:p>
      <w:r>
        <w:rPr>
          <w:rFonts w:ascii="Courier New" w:hAnsi="Courier New"/>
          <w:sz w:val="17"/>
        </w:rPr>
        <w:t xml:space="preserve">ein rotes Licht zeigen, das im unteren Halbkreis geschwenkt wird;    [Abbildung]</w:t>
      </w:r>
    </w:p>
    <w:p>
      <w:pPr>
        <w:ind w:left="780"/>
      </w:pPr>
      <w:r>
        <w:t xml:space="preserve">b) bei Tag:</w:t>
      </w:r>
    </w:p>
    <w:p>
      <w:r>
        <w:rPr>
          <w:rFonts w:ascii="Courier New" w:hAnsi="Courier New"/>
          <w:sz w:val="17"/>
        </w:rPr>
        <w:t xml:space="preserve">eine rote Flagge zeigen, die im unteren Halbkreis geschwenktwird.    [Abbildung]</w:t>
      </w:r>
    </w:p>
    <w:p>
      <w:pPr>
        <w:ind w:left="420"/>
      </w:pPr>
      <w:r>
        <w:t xml:space="preserve">Anstelle der Bezeichnung nach Satz 1 kann das vorgeschriebene Schallzeichen gegeben werden oder beides zugleich.</w:t>
      </w:r>
    </w:p>
    <w:p>
      <w:pPr>
        <w:ind w:left="420"/>
      </w:pPr>
      <w:r>
        <w:t xml:space="preserve">2. Die Flagge nach Nummer 1 Buchstabe b kann durch eine Tafel gleicher Farbe ersetzt werden.</w:t>
      </w:r>
    </w:p>
    <w:p>
      <w:r>
        <w:rPr>
          <w:color w:val="555555"/>
          <w:sz w:val="17"/>
        </w:rPr>
        <w:t xml:space="preserve">Zitiervorschlag: § 3.18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