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3.16 BinSchStrO 2012 — Bezeichnung der Fähren in Fahrt (Anlage 3: Bild 34, 35, 36)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Eine nicht frei fahrende Fähre in Fahrt muss bei Nacht führen:</w:t>
      </w:r>
    </w:p>
    <w:p>
      <w:r>
        <w:rPr>
          <w:rFonts w:ascii="Courier New" w:hAnsi="Courier New"/>
          <w:sz w:val="17"/>
        </w:rPr>
        <w:t xml:space="preserve">a)ein von allen Seiten sichtbares weißes helles Licht mindestens 5,00 m über der Ebene der Einsenkungsmarken; die Höhe darfjedoch verringert werden, wenn die Länge der Fähre 15,00 mnicht überschreitet;b)ein von allen Seiten sichtbares grünes helles Licht etwa 1,00 müber dem Licht nach Buchstabe a.    [Abbildung]</w:t>
      </w:r>
    </w:p>
    <w:p>
      <w:r>
        <w:rPr>
          <w:rFonts w:ascii="Courier New" w:hAnsi="Courier New"/>
          <w:sz w:val="17"/>
        </w:rPr>
        <w:t xml:space="preserve">2.Bei einer Gierfähre am Längsseil in Fahrt muss bei Nacht deroberste Buchtnachen oder Döpper mit einem weißen hellen Lichtmindestens 3,00 m über dem Wasser versehen sein.    [Abbildung]</w:t>
      </w:r>
    </w:p>
    <w:p>
      <w:pPr>
        <w:ind w:left="420"/>
      </w:pPr>
      <w:r>
        <w:t xml:space="preserve">3. Eine frei fahrende Fähre in Fahrt muss bei Nacht führen:</w:t>
      </w:r>
    </w:p>
    <w:p>
      <w:r>
        <w:rPr>
          <w:rFonts w:ascii="Courier New" w:hAnsi="Courier New"/>
          <w:sz w:val="17"/>
        </w:rPr>
        <w:t xml:space="preserve">a)die Lichter nach Nummer 1;b)die Lichter nach § 3.08 Nummer 1 Buchstabe b und c.    [Abbildung]</w:t>
      </w:r>
    </w:p>
    <w:p>
      <w:r>
        <w:rPr>
          <w:color w:val="555555"/>
          <w:sz w:val="17"/>
        </w:rPr>
        <w:t xml:space="preserve">Zitiervorschlag: § 3.16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