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3.15 BinSchStrO 2012 — Bezeichnung der Fahrzeuge in Fahrt, die zur Beförderung von mehr als zwölf Fahrgästen zugelassen sind und deren Schiffskörper eine größte Länge von weniger als 20,00 m aufweist (Anlage 3: Bild 33)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Fahrzeug, das zur Beförderung von mehr als zwölf Fahrgästen zugelassen ist und dessen Schiffskörper eine größte Länge von weniger als 20,00 m aufweist, muss in Fahrt bei Tag</w:t>
      </w:r>
    </w:p>
    <w:p>
      <w:r>
        <w:rPr>
          <w:rFonts w:ascii="Courier New" w:hAnsi="Courier New"/>
          <w:sz w:val="17"/>
        </w:rPr>
        <w:t xml:space="preserve">einen gelben Doppelkegel an einer geeigneten Stelle und so hoch, dass er von allen Seiten sichtbar ist,    [Abbildung]</w:t>
      </w:r>
    </w:p>
    <w:p>
      <w:r>
        <w:t xml:space="preserve">führen. Satz 1 gilt nicht für eine Fähre.</w:t>
      </w:r>
    </w:p>
    <w:p>
      <w:r>
        <w:rPr>
          <w:color w:val="555555"/>
          <w:sz w:val="17"/>
        </w:rPr>
        <w:t xml:space="preserve">Zitiervorschlag: § 3.15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