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3.12 BinSchStrO 2012 — Bezeichnung der Fahrzeuge unter Segel in Fahrt (Anlage 3: Bild 17)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1. Ein Fahrzeug unter Segel in Fahrt muss bei Nacht führen:</w:t>
      </w:r>
    </w:p>
    <w:p>
      <w:r>
        <w:rPr>
          <w:rFonts w:ascii="Courier New" w:hAnsi="Courier New"/>
          <w:sz w:val="17"/>
        </w:rPr>
        <w:t xml:space="preserve">a)die Seitenlichter nach § 3.08 Nummer 1 Buchstabe b, jedoch könnendiese gewöhnliche Lichter sein;b)ein Hecklicht nach § 3.08 Nummer 1 Buchstabe c.    [Abbildung]</w:t>
      </w:r>
    </w:p>
    <w:p>
      <w:pPr>
        <w:ind w:left="420"/>
      </w:pPr>
      <w:r>
        <w:t xml:space="preserve">2. Nummer 1 gilt nicht für ein Kleinfahrzeug; für ein Kleinfahrzeug unter Segel in Fahrt gilt § 3.13 Nummer 4 und 6.</w:t>
      </w:r>
    </w:p>
    <w:p>
      <w:r>
        <w:rPr>
          <w:color w:val="555555"/>
          <w:sz w:val="17"/>
        </w:rPr>
        <w:t xml:space="preserve">Zitiervorschlag: § 3.12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https://recht.nulegal.eu/gesetze/BinSchStrO%202012/3.12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