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3.02 BinSchStrO 2012 — Lichter und Signalleuchten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Soweit nichts anderes bestimmt ist, müssen die in dieser Verordnung vorgeschriebenen Lichter von allen Seiten sichtbar sein und ein gleichmäßiges, ununterbrochenes Licht werfen.</w:t>
      </w:r>
    </w:p>
    <w:p>
      <w:pPr>
        <w:ind w:left="420"/>
      </w:pPr>
      <w:r>
        <w:t xml:space="preserve">2. Es dürfen nur Signalleuchten verwendet werden, deren Lichter in horizontaler Ausstrahlung, Farbe und Stärke den Bestimmungen dieser Verordnung und den Anforderungen des Artikels 7.05 ES-TRIN entsprechen. Signalleuchten, die den Anforderungen der am 30. Juni 2011 oder am 31. Dezember 2012 oder am 6. Oktober 2018 geltenden Fassung der Binnenschifffahrtsstraßen-Ordnung entsprechen, dürfen weiterhin verwendet werden.</w:t>
      </w:r>
    </w:p>
    <w:p>
      <w:pPr>
        <w:ind w:left="420"/>
      </w:pPr>
      <w:r>
        <w:t xml:space="preserve">3. Die Nachtbezeichnung eines stillliegenden nicht motorisierten Fahrzeugs braucht nicht den Anforderungen der Nummer 2 zu entsprechen; sie muss jedoch bei klarer Sicht und dunklem Hintergrund eine Tragweite von mindestens 1 000,00 m haben.</w:t>
      </w:r>
    </w:p>
    <w:p>
      <w:r>
        <w:rPr>
          <w:color w:val="555555"/>
          <w:sz w:val="17"/>
        </w:rPr>
        <w:t xml:space="preserve">Zitiervorschlag: § 3.02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