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3.01 BinSchStrO 2012 — Begriffsbestimmungen und Anwendungen (Anlage 3: Bild 1)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In diesem Kapitel gelten als</w:t>
      </w:r>
    </w:p>
    <w:p>
      <w:r>
        <w:rPr>
          <w:rFonts w:ascii="Courier New" w:hAnsi="Courier New"/>
          <w:sz w:val="17"/>
        </w:rPr>
        <w:t xml:space="preserve">a)„Topplicht“:ein weißes starkes Licht, das über einen Horizontbogen von 225°und zwar von Voraus bis beiderseits 22°30’ hinter die Querlinie,und das nur in diesem Bogen sichtbar ist;b)„Seitenlichter“:an Steuerbord ein grünes helles Licht und an Backbord ein roteshelles Licht, von denen jedes über einen Horizontbogen von112°30’, das heißt von Voraus bis 22°30’ hinter die Querlinie aufder Seite, auf der das Licht angebracht ist, und nur in diesem Bogensichtbar ist;c)„Hecklicht“:ein weißes gewöhnliches Licht oder ein weißes helles Licht,das über einen Horizontbogen von 135°, und zwar 67°30’ vonAchteraus nach jeder Seite und nur in diesem Bogen sichtbar ist;d)„von allen Seiten sichtbares Licht“:ein Licht, das über einen Horizontbogen von 360° sichtbar ist.    [Abbildung]</w:t>
      </w:r>
    </w:p>
    <w:p>
      <w:pPr>
        <w:ind w:left="420"/>
      </w:pPr>
      <w:r>
        <w:t xml:space="preserve">2. Wenn es die Sichtverhältnisse erfordern, müssen die für die Nacht vorgeschriebenen Lichter zusätzlich bei Tag gesetzt werden.</w:t>
      </w:r>
    </w:p>
    <w:p>
      <w:pPr>
        <w:ind w:left="420"/>
      </w:pPr>
      <w:r>
        <w:t xml:space="preserve">3. Bei Anwendung dieses Kapitels gilt ein Schubverband, dessen Länge 110,00 m und dessen Breite 12,00 m nicht überschreiten, als ein einzeln fahrendes Fahrzeug mit Maschinenantrieb von gleicher Länge und Breite und ein Verband gekuppelter Fahrzeuge, dessen Länge 140,00 m überschreitet, als ein Schubverband von gleicher Länge.</w:t>
      </w:r>
    </w:p>
    <w:p>
      <w:pPr>
        <w:ind w:left="420"/>
      </w:pPr>
      <w:r>
        <w:t xml:space="preserve">4. Ein auf Schleusung wartendes Fahrzeug, das stillliegt, kann die für die Fahrt vorgeschriebene Bezeichnung beibehalten.</w:t>
      </w:r>
    </w:p>
    <w:p>
      <w:pPr>
        <w:ind w:left="420"/>
      </w:pPr>
      <w:r>
        <w:t xml:space="preserve">5. Die in diesem Kapitel vorgeschriebenen Bezeichnungen sind in Anlage 3 abgebildet.</w:t>
      </w:r>
    </w:p>
    <w:p>
      <w:r>
        <w:rPr>
          <w:color w:val="555555"/>
          <w:sz w:val="17"/>
        </w:rPr>
        <w:t xml:space="preserve">Zitiervorschlag: § 3.01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