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29.04 BinSchStrO 2012 — Sorgfaltspflicht beim Bunkern von Flüssigerdgas (LNG)</w:t>
      </w:r>
    </w:p>
    <w:p>
      <w:r>
        <w:rPr>
          <w:color w:val="555555"/>
          <w:sz w:val="18"/>
        </w:rPr>
        <w:t xml:space="preserve">Binnenschifffahrtsstraßen-Ordnung</w:t>
      </w:r>
    </w:p>
    <w:p>
      <w:r>
        <w:rPr>
          <w:color w:val="555555"/>
          <w:sz w:val="18"/>
        </w:rPr>
        <w:t xml:space="preserve">Stand: 21.10.2025 (konsolidierte Textfassung, kein amtliches Inkrafttretensdatum)</w:t>
      </w:r>
    </w:p>
    <w:p>
      <w:pPr>
        <w:ind w:left="420"/>
      </w:pPr>
      <w:r>
        <w:t xml:space="preserve">1. Die in § 29.03 Nummer 1 Buchstabe a und b und Nummer 2 Buchstabe a und d genannten Vorschriften gelten nicht beim Bunkern von Flüssigerdgas (LNG).</w:t>
      </w:r>
    </w:p>
    <w:p>
      <w:pPr>
        <w:ind w:left="420"/>
      </w:pPr>
      <w:r>
        <w:t xml:space="preserve">2. Das Bunkern von Flüssigerdgas (LNG) während der Fahrt, beim Umschlag von Gütern sowie beim Ein- und Aussteigen von Fahrgästen ist nicht gestattet.</w:t>
      </w:r>
    </w:p>
    <w:p>
      <w:pPr>
        <w:ind w:left="420"/>
      </w:pPr>
      <w:r>
        <w:t xml:space="preserve">3. Das Bunkern von Flüssigerdgas (LNG) darf nur an den von der zuständigen Behörde bekannt gegebenen Stellen erfolgen.</w:t>
      </w:r>
    </w:p>
    <w:p>
      <w:pPr>
        <w:ind w:left="420"/>
      </w:pPr>
      <w:r>
        <w:t xml:space="preserve">4. Im Bunkerbereich dürfen sich nur Besatzungsmitglieder des zu bebunkernden Fahrzeugs, Mitarbeiter der Bunkerstelle oder Personen aufhalten, die über eine von der zuständigen Behörde erteilte Erlaubnis verfügen.</w:t>
      </w:r>
    </w:p>
    <w:p>
      <w:pPr>
        <w:ind w:left="420"/>
      </w:pPr>
      <w:r>
        <w:t xml:space="preserve">5. Vor Beginn des Bunkerns von Flüssigerdgas (LNG) ist sicherzustellen, dass</w:t>
      </w:r>
    </w:p>
    <w:p>
      <w:pPr>
        <w:ind w:left="780"/>
      </w:pPr>
      <w:r>
        <w:t xml:space="preserve">a) das zu bebunkernde Fahrzeug so festgemacht ist, dass</w:t>
      </w:r>
    </w:p>
    <w:p>
      <w:pPr>
        <w:ind w:left="1140"/>
      </w:pPr>
      <w:r>
        <w:t xml:space="preserve">aa) Kabel, insbesondere die elektrischen Kabel, die Erdungskabel und die Schlauchleitungen nicht aufgrund von Zug verformt werden und</w:t>
      </w:r>
    </w:p>
    <w:p>
      <w:pPr>
        <w:ind w:left="1140"/>
      </w:pPr>
      <w:r>
        <w:t xml:space="preserve">bb) das Fahrzeug bei Gefahr rasch losgemacht werden kann,</w:t>
      </w:r>
    </w:p>
    <w:p>
      <w:pPr>
        <w:ind w:left="780"/>
      </w:pPr>
      <w:r>
        <w:t xml:space="preserve">b) eine Prüfliste für das Bunkern von Flüssigerdgas (LNG) durch Fahrzeuge, die das Kennzeichen nach § 2.06 tragen,</w:t>
      </w:r>
    </w:p>
    <w:p>
      <w:pPr>
        <w:ind w:left="1140"/>
      </w:pPr>
      <w:r>
        <w:t xml:space="preserve">aa) im Falle des Bunkerns Lastkraftwagen – Schiff nach dem entsprechenden Standard der Zentralkommission für die Rheinschifffahrt, Edition 2.0 (https://www.ccr-zkr.org/files/documents/reglementRP/L_ctrl_avitaillement_GNL_cb_de.pdf), und</w:t>
      </w:r>
    </w:p>
    <w:p>
      <w:pPr>
        <w:ind w:left="1140"/>
      </w:pPr>
      <w:r>
        <w:t xml:space="preserve">bb) im Falle des Bunkerns Landbunkerstelle – Schiff nach dem entsprechenden Standard der Zentralkommission für die Rheinschifffahrt, Edition 2.0 (https://www.ccr-zkr.org/files/documents/reglementRP/L_ctrl_avitaillement_GNL_stb_de.pdf),</w:t>
      </w:r>
    </w:p>
    <w:p>
      <w:pPr>
        <w:ind w:left="780"/>
      </w:pPr>
      <w:r>
        <w:t xml:space="preserve">ausgefüllt und unterschrieben wurde und alle Fragen in der jeweiligen Prüfliste mit „Ja“ beantwortet sind. Nichtzutreffende Fragen sind zu streichen. Können nicht alle Fragen mit „Ja“ beantwortet werden, ist das Bunkern nur mit Genehmigung der zuständigen Behörde gestattet,</w:t>
      </w:r>
    </w:p>
    <w:p>
      <w:pPr>
        <w:ind w:left="780"/>
      </w:pPr>
      <w:r>
        <w:t xml:space="preserve">c) alle erforderlichen Genehmigungen vorliegen.</w:t>
      </w:r>
    </w:p>
    <w:p>
      <w:pPr>
        <w:ind w:left="420"/>
      </w:pPr>
      <w:r>
        <w:t xml:space="preserve">6. Die Prüfliste nach Nummer 5 Buchstabe b muss</w:t>
      </w:r>
    </w:p>
    <w:p>
      <w:pPr>
        <w:ind w:left="780"/>
      </w:pPr>
      <w:r>
        <w:t xml:space="preserve">a) in zweifacher Ausfertigung ausgefüllt werden,</w:t>
      </w:r>
    </w:p>
    <w:p>
      <w:pPr>
        <w:ind w:left="780"/>
      </w:pPr>
      <w:r>
        <w:t xml:space="preserve">b) in mindestens einer Sprache vorliegen, die den in Nummer 5 Buchstabe b bezeichneten Personen verständlich ist, und</w:t>
      </w:r>
    </w:p>
    <w:p>
      <w:pPr>
        <w:ind w:left="780"/>
      </w:pPr>
      <w:r>
        <w:t xml:space="preserve">c) drei Monate an Bord des Fahrzeugs aufbewahrt werden.</w:t>
      </w:r>
    </w:p>
    <w:p>
      <w:pPr>
        <w:ind w:left="420"/>
      </w:pPr>
      <w:r>
        <w:t xml:space="preserve">7. Während des Bunkerns von Flüssigerdgas (LNG) ist ununterbrochen sicherzustellen, dass</w:t>
      </w:r>
    </w:p>
    <w:p>
      <w:pPr>
        <w:ind w:left="780"/>
      </w:pPr>
      <w:r>
        <w:t xml:space="preserve">a) alle Maßnahmen getroffen sind, um das Austreten von Flüssigerdgas (LNG) aus einer Leckage zu verhindern,</w:t>
      </w:r>
    </w:p>
    <w:p>
      <w:pPr>
        <w:ind w:left="780"/>
      </w:pPr>
      <w:r>
        <w:t xml:space="preserve">b) Druck und Temperatur des Brennstofftanks für Flüssigerdgas (LNG) im normalen Betriebszustand bleiben,</w:t>
      </w:r>
    </w:p>
    <w:p>
      <w:pPr>
        <w:ind w:left="780"/>
      </w:pPr>
      <w:r>
        <w:t xml:space="preserve">c) der Füllstand des Brennstofftanks für Flüssigerdgas (LNG) zwischen den zulässigen Niveaus bleibt,</w:t>
      </w:r>
    </w:p>
    <w:p>
      <w:pPr>
        <w:ind w:left="780"/>
      </w:pPr>
      <w:r>
        <w:t xml:space="preserve">d) Maßnahmen getroffen sind, um das zu bebunkernde Fahrzeug von der Bunkerstelle nach der in der Betriebsanleitung vorgesehenen Methode zu erden.</w:t>
      </w:r>
    </w:p>
    <w:p>
      <w:pPr>
        <w:ind w:left="420"/>
      </w:pPr>
      <w:r>
        <w:t xml:space="preserve">8. Während des Bunkerns von Flüssigerdgas (LNG)</w:t>
      </w:r>
    </w:p>
    <w:p>
      <w:pPr>
        <w:ind w:left="780"/>
      </w:pPr>
      <w:r>
        <w:t xml:space="preserve">a) muss das zu bebunkernde Fahrzeug zusätzlich zur Kennzeichnung nach § 2.06 folgende für andere Fahrzeuge sichtbare Tafeln führen:</w:t>
      </w:r>
    </w:p>
    <w:p>
      <w:pPr>
        <w:ind w:left="1140"/>
      </w:pPr>
      <w:r>
        <w:t xml:space="preserve">aa) eine Tafel gemäß § 3.33 (Anlage 3 Bild 62), die darauf hinweist, dass das Stillliegen in weniger als 10,00 m Entfernung verboten ist; die Seitenlängen der Tafel müssen mindestens 60 cm betragen,</w:t>
      </w:r>
    </w:p>
    <w:p>
      <w:pPr>
        <w:ind w:left="1140"/>
      </w:pPr>
      <w:r>
        <w:t xml:space="preserve">bb) eine Tafel A.9 (Anlage 7), die darauf hinweist, dass Wellenschlag zu vermeiden ist; die längste Seite der Tafel muss mindestens 60 cm betragen,</w:t>
      </w:r>
    </w:p>
    <w:p>
      <w:pPr>
        <w:ind w:left="780"/>
      </w:pPr>
      <w:r>
        <w:t xml:space="preserve">b) müssen die Tafeln bei Nacht so beleuchtet sein, dass sie auf beiden Seiten des Fahrzeugs deutlich sichtbar sind.</w:t>
      </w:r>
    </w:p>
    <w:p>
      <w:pPr>
        <w:ind w:left="420"/>
      </w:pPr>
      <w:r>
        <w:t xml:space="preserve">9. Nach dem Bunkern von Flüssigerdgas (LNG) ist sicherzustellen, dass</w:t>
      </w:r>
    </w:p>
    <w:p>
      <w:pPr>
        <w:ind w:left="780"/>
      </w:pPr>
      <w:r>
        <w:t xml:space="preserve">a) die Rohrleitungen für das Bunkern von Flüssigerdgas (LNG) bis zum Brennstofftank vollständig entleert sind,</w:t>
      </w:r>
    </w:p>
    <w:p>
      <w:pPr>
        <w:ind w:left="780"/>
      </w:pPr>
      <w:r>
        <w:t xml:space="preserve">b) die Ventile geschlossen sowie die Schlauchleitungen und die Verbindung zwischen Fahrzeug und Bunkerstelle für Flüssigerdgas (LNG) getrennt sind,</w:t>
      </w:r>
    </w:p>
    <w:p>
      <w:pPr>
        <w:ind w:left="780"/>
      </w:pPr>
      <w:r>
        <w:t xml:space="preserve">c) der zuständigen Behörde gemeldet wird, dass das Bunkern abgeschlossen ist.</w:t>
      </w:r>
    </w:p>
    <w:p>
      <w:pPr>
        <w:ind w:left="420"/>
      </w:pPr>
      <w:r>
        <w:t xml:space="preserve">10. Der Schiffsführer hat die in den Nummern 2 bis 9 vorgesehenen oder auf Grund dieser Vorschriften angeordneten Gebote und Verbote über die Sorgfaltspflicht beim Bunkern von Flüssigerdgas (LNG) einzuhalten oder sicherzustellen, dass diese eingehalten werden.</w:t>
      </w:r>
    </w:p>
    <w:p>
      <w:pPr>
        <w:ind w:left="420"/>
      </w:pPr>
      <w:r>
        <w:t xml:space="preserve">11. Die für die Bunkerstelle verantwortliche Person hat die in den Nummern 2 bis 4, Nummer 5 Buchstabe b in Verbindung mit Nummer 6 Buchstabe a und b und den Nummern 7 und 9 vorgesehenen oder auf Grund dieser Vorschriften angeordneten Gebote über die Sorgfaltspflicht beim Bunkern von Flüssigerdgas (LNG) einzuhalten oder sicherzustellen, dass diese eingehalten werden.</w:t>
      </w:r>
    </w:p>
    <w:p>
      <w:r>
        <w:rPr>
          <w:color w:val="555555"/>
          <w:sz w:val="17"/>
        </w:rPr>
        <w:t xml:space="preserve">Zitiervorschlag: § 29.04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https://recht.nulegal.eu/gesetze/BinSchStrO%202012/29.04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