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29.03 BinSchStrO 2012 — Sorgfaltspflicht beim Bunkern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pPr>
        <w:ind w:left="420"/>
      </w:pPr>
      <w:r>
        <w:t xml:space="preserve">1. Der Schiffsführer hat beim Bunkern von Brenn- und Schmierstoffen dafür zu sorgen, dass</w:t>
      </w:r>
    </w:p>
    <w:p>
      <w:pPr>
        <w:ind w:left="780"/>
      </w:pPr>
      <w:r>
        <w:t xml:space="preserve">a) die zu bunkernde Menge innerhalb des ablesbaren Bereichs der Peileinrichtung liegt,</w:t>
      </w:r>
    </w:p>
    <w:p>
      <w:pPr>
        <w:ind w:left="780"/>
      </w:pPr>
      <w:r>
        <w:t xml:space="preserve">b) bei separater Befüllung der Brennstofftanks die Absperrventile innerhalb der Verbindungsrohrleitungen der Brennstofftanks geschlossen sind,</w:t>
      </w:r>
    </w:p>
    <w:p>
      <w:pPr>
        <w:ind w:left="780"/>
      </w:pPr>
      <w:r>
        <w:t xml:space="preserve">c) der Bunkervorgang überwacht und</w:t>
      </w:r>
    </w:p>
    <w:p>
      <w:pPr>
        <w:ind w:left="780"/>
      </w:pPr>
      <w:r>
        <w:t xml:space="preserve">d) eine der Einrichtungen nach Artikel 8.05 Nummer 10 ES-TRIN genutzt wird.</w:t>
      </w:r>
    </w:p>
    <w:p>
      <w:pPr>
        <w:ind w:left="420"/>
      </w:pPr>
      <w:r>
        <w:t xml:space="preserve">2. Der Schiffsführer hat weiter dafür zu sorgen, dass die für den Bunkervorgang verantwortlichen Personen der Bunkerstelle und des Fahrzeugs vor Beginn des Bunkervorgangs folgendes festgelegt haben:</w:t>
      </w:r>
    </w:p>
    <w:p>
      <w:pPr>
        <w:ind w:left="780"/>
      </w:pPr>
      <w:r>
        <w:t xml:space="preserve">a) die Sicherstellung der Funktionsfähigkeit des Systems nach Artikel 8.05 Nummer 11 ES-TRIN und einer Sprechverbindung zwischen Schiff und Bunkerstelle,</w:t>
      </w:r>
    </w:p>
    <w:p>
      <w:pPr>
        <w:ind w:left="780"/>
      </w:pPr>
      <w:r>
        <w:t xml:space="preserve">b) die zu bebunkernde Menge je Brennstofftank und die Einfüllleistung, insbesondere im Hinblick auf mögliche Entlüftungsprobleme des Brennstofftanks,</w:t>
      </w:r>
    </w:p>
    <w:p>
      <w:pPr>
        <w:ind w:left="780"/>
      </w:pPr>
      <w:r>
        <w:t xml:space="preserve">c) die Reihenfolge der Befüllungen der Brennstofftanks und</w:t>
      </w:r>
    </w:p>
    <w:p>
      <w:pPr>
        <w:ind w:left="780"/>
      </w:pPr>
      <w:r>
        <w:t xml:space="preserve">d) die Fahrgeschwindigkeit, wenn während der Fahrt gebunkert wird.</w:t>
      </w:r>
    </w:p>
    <w:p>
      <w:pPr>
        <w:ind w:left="420"/>
      </w:pPr>
      <w:r>
        <w:t xml:space="preserve">3. Der Schiffsführer des Bunkerbootes darf mit dem Bunkervorgang erst beginnen, wenn die Festlegungen nach Nummer 2 erfolgt sind.</w:t>
      </w:r>
    </w:p>
    <w:p>
      <w:pPr>
        <w:ind w:left="420"/>
      </w:pPr>
      <w:r>
        <w:t xml:space="preserve">4. Die Nummern 1 bis 3 gelten nicht für ein Kleinfahrzeug.</w:t>
      </w:r>
    </w:p>
    <w:p>
      <w:r>
        <w:rPr>
          <w:color w:val="555555"/>
          <w:sz w:val="17"/>
        </w:rPr>
        <w:t xml:space="preserve">Zitiervorschlag: § 29.03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https://recht.nulegal.eu/gesetze/BinSchStrO%202012/29.03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