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 die Vorschriften über</w:t>
      </w:r>
    </w:p>
    <w:p>
      <w:pPr>
        <w:ind w:left="780"/>
      </w:pPr>
      <w:r>
        <w:t xml:space="preserve">a) das Verhalten beim Begegnen nach § 28.06 Nummer 1 in Verbindung mit Nummer 2 und 3 Satz 1, dieser in Verbindung mit Satz 2, und Nummer 4 Satz 1 und 3 und</w:t>
      </w:r>
    </w:p>
    <w:p>
      <w:pPr>
        <w:ind w:left="780"/>
      </w:pPr>
      <w:r>
        <w:t xml:space="preserve">b) die Schifffahrt bei Hochwasser nach § 28.11 Nummer 1 Satz 1</w:t>
      </w:r>
    </w:p>
    <w:p>
      <w:pPr>
        <w:ind w:left="420"/>
      </w:pPr>
      <w:r>
        <w:t xml:space="preserve">einzuhalten oder sicherzustellen, dass diese eingehalten werden,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nach § 28.02 Nummer 1 bis 4 nicht überschreitet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28.03 Nummer 1 Satz 1 und Nummer 2,</w:t>
      </w:r>
    </w:p>
    <w:p>
      <w:pPr>
        <w:ind w:left="1140"/>
      </w:pPr>
      <w:r>
        <w:t xml:space="preserve">bb) das Stillliegen nach § 28.10 Nummer 1, 2 Satz 1, auch in Verbindung mit Satz 2, Nummer 3 und 5 und</w:t>
      </w:r>
    </w:p>
    <w:p>
      <w:pPr>
        <w:ind w:left="1140"/>
      </w:pPr>
      <w:r>
        <w:t xml:space="preserve">cc) die Umgruppierung und Zusammenstellung eines Verbandes bei der Schleusung nach § 28.18 Satz 1, 2 Halbsatz 1 und Satz 3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das in § 28.25 Satz 1 angeordnete Verbot, die Altwässer zu befahren, und das in § 28.27 angeordnete Verbot, die bezeichneten Fischruhezonen zu befahren, zu beachten oder sicherzustellen, dass diese Verbote beachtet werden.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es oder er die zugelassenen Höchstabmessungen nach § 28.02 Nummer 1 bis 3 und Nummer 5 Buchstabe a und b nicht überschreitet.</w:t>
      </w:r>
    </w:p>
    <w:p>
      <w:r>
        <w:rPr>
          <w:color w:val="555555"/>
          <w:sz w:val="17"/>
        </w:rPr>
        <w:t xml:space="preserve">Zitiervorschlag: § 28.29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