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28.27 BinSchStrO 2012 — Verkehrsbeschränkungen der Schifffahrt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13.04.2025 (konsolidierte Textfassung, kein amtliches Inkrafttretensdatum)</w:t>
      </w:r>
    </w:p>
    <w:p>
      <w:r>
        <w:t xml:space="preserve">Das Befahren der zwischen Friesheim (km 2363,25) und Kiefenholz (km 2359,05) ausgewiesenen Fischruhezonen ist verboten.</w:t>
      </w:r>
    </w:p>
    <w:p>
      <w:r>
        <w:rPr>
          <w:color w:val="555555"/>
          <w:sz w:val="17"/>
        </w:rPr>
        <w:t xml:space="preserve">Zitiervorschlag: § 28.27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https://recht.nulegal.eu/gesetze/BinSchStrO%202012/28.27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