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 Kleinfahrzeug das mit einer Antriebsmaschine ausgerüstet ist, darf die Altwässer, insbesondere Wasserflächen hinter Parallelwerken oder Leitdämmen, nicht befahren. Satz 1 gilt nicht für</w:t>
      </w:r>
    </w:p>
    <w:p>
      <w:pPr>
        <w:ind w:left="420"/>
      </w:pPr>
      <w:r>
        <w:t xml:space="preserve">1. ein Fahrzeug, das zur Ausübung eines Berufsfischereirechtes oder Jagdrechtes benutzt wird;</w:t>
      </w:r>
    </w:p>
    <w:p>
      <w:pPr>
        <w:ind w:left="420"/>
      </w:pPr>
      <w:r>
        <w:t xml:space="preserve">2. Zu- und Abfahrten von Liegeplätzen, die von der zuständigen Behörde zugelassen sind.</w:t>
      </w:r>
    </w:p>
    <w:p>
      <w:r>
        <w:rPr>
          <w:color w:val="555555"/>
          <w:sz w:val="17"/>
        </w:rPr>
        <w:t xml:space="preserve">Zitiervorschlag: § 28.25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