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pPr>
        <w:ind w:left="420"/>
      </w:pPr>
      <w:r>
        <w:t xml:space="preserve">1. Abweichend von § 6.28 Nummer 1 Satz 1 gehören im Falle der Schleusen Kachlet und Jochenstein neben der Schleuse jeweils die Strecke zwischen der Schleuse und den Vorsignalanlagen zum Schleusenbereich.</w:t>
      </w:r>
    </w:p>
    <w:p>
      <w:pPr>
        <w:ind w:left="420"/>
      </w:pPr>
      <w:r>
        <w:t xml:space="preserve">2. In den Schleusen Kachlet und Jochenstein wird abweichend von § 6.29 Nummer 1 Satz 1 jeweils in der Reihenfolge des Eintreffens an den Vorsignalanlagen geschleust.</w:t>
      </w:r>
    </w:p>
    <w:p>
      <w:pPr>
        <w:ind w:left="420"/>
      </w:pPr>
      <w:r>
        <w:t xml:space="preserve">3. In den Schleusenbereichen Kachlet und Jochenstein wird jeweils das Einfahren in die Schleuse zusätzlich zu den in § 6.28a Nummer 2 genannten Sichtzeichen auch durch Signallichter der Vor- und Abrufsignalanlagen geregelt. Der Schiffsführer und die nach § 1.03 Nummer 3 für Kurs und Geschwindigkeit verantwortliche Person müssen hierzu die folgenden Regeln beachten:</w:t>
      </w:r>
    </w:p>
    <w:p>
      <w:pPr>
        <w:ind w:left="780"/>
      </w:pPr>
      <w:r>
        <w:t xml:space="preserve">a) Talfahrt (Vorsignal oder Abrufsignal):Die Weisung zur Benutzung der Schleusenkammer wird durch Richtungsweiser gegeben, die aus zwei weißen Signallichtern nebeneinander bestehen, die folgende Bedeutung haben:</w:t>
      </w:r>
    </w:p>
    <w:p>
      <w:pPr>
        <w:ind w:left="1140"/>
      </w:pPr>
      <w:r>
        <w:t xml:space="preserve">aa) linkes festes Licht, rechtes Gleichtaktlicht:rechte Schleuse benutzen;</w:t>
      </w:r>
    </w:p>
    <w:p>
      <w:pPr>
        <w:ind w:left="1140"/>
      </w:pPr>
      <w:r>
        <w:t xml:space="preserve">bb) rechtes festes Licht, linkes Gleichtaktlicht:linke Schleuse benutzen;</w:t>
      </w:r>
    </w:p>
    <w:p>
      <w:pPr>
        <w:ind w:left="1140"/>
      </w:pPr>
      <w:r>
        <w:t xml:space="preserve">cc) festes Licht links und rechts:bis zur Einweisung warten;</w:t>
      </w:r>
    </w:p>
    <w:p>
      <w:pPr>
        <w:ind w:left="1140"/>
      </w:pPr>
      <w:r>
        <w:t xml:space="preserve">dd) Gleichtaktlicht links und rechts:beide Schleusen benutzbar.</w:t>
      </w:r>
    </w:p>
    <w:p>
      <w:pPr>
        <w:ind w:left="780"/>
      </w:pPr>
      <w:r>
        <w:t xml:space="preserve">b) Bergfahrt (Vorsignal):Die Weisung zur Benutzung der Schleusenkammer wird durch Richtungsweiser gegeben, die aus einem Signallicht bestehen, das folgende Bedeutung hat:</w:t>
      </w:r>
    </w:p>
    <w:p>
      <w:pPr>
        <w:ind w:left="1140"/>
      </w:pPr>
      <w:r>
        <w:t xml:space="preserve">aa) ein festes Licht:bis zur Einweisung warten,</w:t>
      </w:r>
    </w:p>
    <w:p>
      <w:pPr>
        <w:ind w:left="1140"/>
      </w:pPr>
      <w:r>
        <w:t xml:space="preserve">bb) ein Gleichtaktlicht:Einfahrt in die Schleuse frei.</w:t>
      </w:r>
    </w:p>
    <w:p>
      <w:pPr>
        <w:ind w:left="420"/>
      </w:pPr>
      <w:r>
        <w:t xml:space="preserve">4. Abweichend von Nummer 3 Satz 2 müssen der Schiffsführer und die nach 1.03 Nummer 3 für Kurs und Geschwindigkeit verantwortliche Person eines Kleinfahrzeugs nur die Sichtzeichen nach § 6.28a Nummer 2 Satz 1 bis 5 beachten.</w:t>
      </w:r>
    </w:p>
    <w:p>
      <w:r>
        <w:rPr>
          <w:color w:val="555555"/>
          <w:sz w:val="17"/>
        </w:rPr>
        <w:t xml:space="preserve">Zitiervorschlag: § 28.19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https://recht.nulegal.eu/gesetze/BinSchStrO%202012/28.19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