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28.11 BinSchStrO 2012 — Schifffahrt bei Hochwasser</w:t>
      </w:r>
    </w:p>
    <w:p>
      <w:r>
        <w:rPr>
          <w:color w:val="555555"/>
          <w:sz w:val="18"/>
        </w:rPr>
        <w:t xml:space="preserve">Binnenschifffahrtsstraßen-Ordnung</w:t>
      </w:r>
    </w:p>
    <w:p>
      <w:r>
        <w:rPr>
          <w:color w:val="555555"/>
          <w:sz w:val="18"/>
        </w:rPr>
        <w:t xml:space="preserve">Stand: 13.04.2025 (konsolidierte Textfassung, kein amtliches Inkrafttretensdatum)</w:t>
      </w:r>
    </w:p>
    <w:p>
      <w:pPr>
        <w:ind w:left="420"/>
      </w:pPr>
      <w:r>
        <w:t xml:space="preserve">1. Hat der Wasserstand den Höchsten Schifffahrtswasserstand (HSW) erreicht oder überschritten, so ist die Schifffahrt einschließlich des Übersetzverkehrs einzustellen. Die Höchsten Schifffahrtswasserstände sowie die Abschnitte, für die sie gelten, sind nachstehend aufgeführt:</w:t>
      </w:r>
    </w:p>
    <w:p>
      <w:r>
        <w:rPr>
          <w:rFonts w:ascii="Courier New" w:hAnsi="Courier New"/>
          <w:sz w:val="17"/>
        </w:rPr>
        <w:t xml:space="preserve">Pegel    Wasserstand in cm    Abschnitt</w:t>
      </w:r>
    </w:p>
    <w:p>
      <w:r>
        <w:rPr>
          <w:rFonts w:ascii="Courier New" w:hAnsi="Courier New"/>
          <w:sz w:val="17"/>
        </w:rPr>
        <w:t xml:space="preserve">Oberndorf    480    Kelheim bis Schleuse Regensburg</w:t>
      </w:r>
    </w:p>
    <w:p>
      <w:r>
        <w:rPr>
          <w:rFonts w:ascii="Courier New" w:hAnsi="Courier New"/>
          <w:sz w:val="17"/>
        </w:rPr>
        <w:t xml:space="preserve">Regensburg-Schwabelweis    520    Schleuse Regensburg bis Schleuse Geisling</w:t>
      </w:r>
    </w:p>
    <w:p>
      <w:r>
        <w:rPr>
          <w:rFonts w:ascii="Courier New" w:hAnsi="Courier New"/>
          <w:sz w:val="17"/>
        </w:rPr>
        <w:t xml:space="preserve">Pfatter    600    Schleuse Geisling bis Schleuse Straubing</w:t>
      </w:r>
    </w:p>
    <w:p>
      <w:r>
        <w:rPr>
          <w:rFonts w:ascii="Courier New" w:hAnsi="Courier New"/>
          <w:sz w:val="17"/>
        </w:rPr>
        <w:t xml:space="preserve">Pfelling    620    Straubing bis Deggendorf</w:t>
      </w:r>
    </w:p>
    <w:p>
      <w:r>
        <w:rPr>
          <w:rFonts w:ascii="Courier New" w:hAnsi="Courier New"/>
          <w:sz w:val="17"/>
        </w:rPr>
        <w:t xml:space="preserve">Hofkirchen    480    Deggendorf bis Schalding</w:t>
      </w:r>
    </w:p>
    <w:p>
      <w:r>
        <w:rPr>
          <w:rFonts w:ascii="Courier New" w:hAnsi="Courier New"/>
          <w:sz w:val="17"/>
        </w:rPr>
        <w:t xml:space="preserve">Passau-Donau    780    Schalding bis Jochenstein.</w:t>
      </w:r>
    </w:p>
    <w:p>
      <w:pPr>
        <w:ind w:left="420"/>
      </w:pPr>
      <w:r>
        <w:t xml:space="preserve">2. Die zuständige Behörde kann Ausnahmen von Nummer 1 Satz 1 zulassen, wenn die Sicherheit und Leichtigkeit des Schiffsverkehrs dadurch nicht gefährdet werden.</w:t>
      </w:r>
    </w:p>
    <w:p>
      <w:r>
        <w:rPr>
          <w:color w:val="555555"/>
          <w:sz w:val="17"/>
        </w:rPr>
        <w:t xml:space="preserve">Zitiervorschlag: § 28.11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https://recht.nulegal.eu/gesetze/BinSchStrO%202012/28.11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